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52EA0" w14:textId="019B0F1D" w:rsidR="00C746C2" w:rsidRDefault="00280CF0" w:rsidP="00280CF0">
      <w:pPr>
        <w:jc w:val="center"/>
        <w:rPr>
          <w:rFonts w:eastAsiaTheme="minorHAnsi"/>
          <w:lang w:val="en-GB"/>
        </w:rPr>
      </w:pPr>
      <w:r>
        <w:rPr>
          <w:noProof/>
          <w:lang w:val="en-GB"/>
        </w:rPr>
        <w:drawing>
          <wp:inline distT="0" distB="0" distL="0" distR="0" wp14:anchorId="3025B745" wp14:editId="0822FACA">
            <wp:extent cx="1782815" cy="1562100"/>
            <wp:effectExtent l="0" t="0" r="8255" b="0"/>
            <wp:docPr id="1" name="Picture 1" descr="C:\Users\Charlie\AppData\Local\Microsoft\Windows\Temporary Internet Files\Content.Word\NMRFU LOGO v8b_FOR WORD DOC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rlie\AppData\Local\Microsoft\Windows\Temporary Internet Files\Content.Word\NMRFU LOGO v8b_FOR WORD DOCS ONL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5058" cy="1572827"/>
                    </a:xfrm>
                    <a:prstGeom prst="rect">
                      <a:avLst/>
                    </a:prstGeom>
                    <a:noFill/>
                    <a:ln>
                      <a:noFill/>
                    </a:ln>
                  </pic:spPr>
                </pic:pic>
              </a:graphicData>
            </a:graphic>
          </wp:inline>
        </w:drawing>
      </w:r>
    </w:p>
    <w:p w14:paraId="1F6EAAF3" w14:textId="77777777" w:rsidR="00C1666F" w:rsidRDefault="00C1666F" w:rsidP="00280CF0">
      <w:pPr>
        <w:jc w:val="center"/>
        <w:rPr>
          <w:rFonts w:eastAsiaTheme="minorHAnsi"/>
          <w:lang w:val="en-GB"/>
        </w:rPr>
      </w:pPr>
    </w:p>
    <w:p w14:paraId="333CE4D8" w14:textId="77777777" w:rsidR="00C1666F" w:rsidRDefault="00C1666F" w:rsidP="00C1666F">
      <w:pPr>
        <w:pStyle w:val="paragraph"/>
        <w:spacing w:before="0" w:beforeAutospacing="0" w:after="0" w:afterAutospacing="0"/>
        <w:jc w:val="center"/>
        <w:textAlignment w:val="baseline"/>
        <w:rPr>
          <w:rStyle w:val="normaltextrun"/>
          <w:rFonts w:ascii="Calibri" w:eastAsiaTheme="minorEastAsia" w:hAnsi="Calibri" w:cs="Calibri"/>
          <w:b/>
          <w:bCs/>
          <w:sz w:val="22"/>
          <w:szCs w:val="22"/>
        </w:rPr>
      </w:pPr>
      <w:r>
        <w:rPr>
          <w:rStyle w:val="normaltextrun"/>
          <w:rFonts w:ascii="Calibri" w:hAnsi="Calibri" w:cs="Calibri"/>
          <w:b/>
          <w:bCs/>
          <w:sz w:val="22"/>
          <w:szCs w:val="22"/>
        </w:rPr>
        <w:t>Correcting Reported Inaccuracies on the RFU Finances</w:t>
      </w:r>
    </w:p>
    <w:p w14:paraId="42240D5B" w14:textId="77777777" w:rsidR="00C1666F" w:rsidRDefault="00C1666F" w:rsidP="00C1666F">
      <w:pPr>
        <w:pStyle w:val="paragraph"/>
        <w:spacing w:before="0" w:beforeAutospacing="0" w:after="0" w:afterAutospacing="0"/>
        <w:textAlignment w:val="baseline"/>
        <w:rPr>
          <w:rStyle w:val="normaltextrun"/>
          <w:rFonts w:ascii="Calibri" w:hAnsi="Calibri" w:cs="Calibri"/>
          <w:b/>
          <w:bCs/>
          <w:sz w:val="22"/>
          <w:szCs w:val="22"/>
        </w:rPr>
      </w:pPr>
    </w:p>
    <w:p w14:paraId="7C21428F" w14:textId="77777777" w:rsidR="00C1666F" w:rsidRDefault="00C1666F" w:rsidP="00C1666F">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In recent weeks there have been inaccurate articles published in The Rugby Paper regarding the RFU’s financial activities </w:t>
      </w:r>
    </w:p>
    <w:p w14:paraId="2303545F" w14:textId="77777777" w:rsidR="00C1666F" w:rsidRDefault="00C1666F" w:rsidP="00C1666F">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articles contain numerous inaccuracies and misleading statements about the RFU’s participation in the agreement with commercial partner CVC announced in </w:t>
      </w:r>
      <w:proofErr w:type="gramStart"/>
      <w:r>
        <w:rPr>
          <w:rStyle w:val="normaltextrun"/>
          <w:rFonts w:ascii="Calibri" w:hAnsi="Calibri" w:cs="Calibri"/>
          <w:sz w:val="22"/>
          <w:szCs w:val="22"/>
        </w:rPr>
        <w:t>2021</w:t>
      </w:r>
      <w:proofErr w:type="gramEnd"/>
      <w:r>
        <w:rPr>
          <w:rStyle w:val="normaltextrun"/>
          <w:rFonts w:ascii="Calibri" w:hAnsi="Calibri" w:cs="Calibri"/>
          <w:sz w:val="22"/>
          <w:szCs w:val="22"/>
        </w:rPr>
        <w:t xml:space="preserve">  </w:t>
      </w:r>
    </w:p>
    <w:p w14:paraId="51C8940E" w14:textId="77777777" w:rsidR="00C1666F" w:rsidRDefault="00C1666F" w:rsidP="00C1666F">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These articles and the inaccuracies contained within are unhelpful and damaging to the reputation of the sport of rugby in England, the RFU has written to The Rugby Paper to request the articles are removed from their website.</w:t>
      </w:r>
    </w:p>
    <w:p w14:paraId="16E4CB3C" w14:textId="77777777" w:rsidR="00C1666F" w:rsidRDefault="00C1666F" w:rsidP="00C1666F">
      <w:pPr>
        <w:pStyle w:val="paragraph"/>
        <w:numPr>
          <w:ilvl w:val="0"/>
          <w:numId w:val="12"/>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below statement provides a summary of the RFU’s participation in Project Light and corrects a number of these inaccuracies. </w:t>
      </w:r>
    </w:p>
    <w:p w14:paraId="625570B8" w14:textId="77777777" w:rsidR="00C1666F" w:rsidRDefault="00C1666F" w:rsidP="00C1666F">
      <w:pPr>
        <w:pStyle w:val="paragraph"/>
        <w:spacing w:before="0" w:beforeAutospacing="0" w:after="0" w:afterAutospacing="0"/>
        <w:textAlignment w:val="baseline"/>
        <w:rPr>
          <w:rStyle w:val="normaltextrun"/>
          <w:rFonts w:ascii="Calibri" w:hAnsi="Calibri" w:cs="Calibri"/>
          <w:b/>
          <w:bCs/>
          <w:sz w:val="22"/>
          <w:szCs w:val="22"/>
        </w:rPr>
      </w:pPr>
    </w:p>
    <w:p w14:paraId="02D23E54"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In 2021, the Six Nations Unions announced the initiation of Project Light, which involved the consolidation of their broadcast rights and sale of a 14.3% (1/7) stake in future broadcast revenues to commercial partner CVC. This shareholding was to be acquired gradually over five years between 2021 and the 2025/26 season. </w:t>
      </w:r>
    </w:p>
    <w:p w14:paraId="56ADDD2D"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p>
    <w:p w14:paraId="670AFE2F"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In return for their eventual 1/7</w:t>
      </w:r>
      <w:r>
        <w:rPr>
          <w:rStyle w:val="normaltextrun"/>
          <w:rFonts w:ascii="Calibri" w:hAnsi="Calibri" w:cs="Calibri"/>
          <w:sz w:val="22"/>
          <w:szCs w:val="22"/>
          <w:vertAlign w:val="superscript"/>
        </w:rPr>
        <w:t>th</w:t>
      </w:r>
      <w:r>
        <w:rPr>
          <w:rStyle w:val="normaltextrun"/>
          <w:rFonts w:ascii="Calibri" w:hAnsi="Calibri" w:cs="Calibri"/>
          <w:sz w:val="22"/>
          <w:szCs w:val="22"/>
        </w:rPr>
        <w:t xml:space="preserve"> stake, CVC committed to pay up to £365m, payable in annual instalments to the Six Nations Unions between 2021 and the 2025/26 season.  </w:t>
      </w:r>
    </w:p>
    <w:p w14:paraId="2BC64511"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p>
    <w:p w14:paraId="7054578B" w14:textId="77777777" w:rsidR="00C1666F" w:rsidRDefault="00C1666F" w:rsidP="00C1666F">
      <w:pPr>
        <w:pStyle w:val="paragraph"/>
        <w:spacing w:before="0" w:beforeAutospacing="0" w:after="0" w:afterAutospacing="0"/>
        <w:textAlignment w:val="baseline"/>
        <w:rPr>
          <w:rStyle w:val="normaltextrun"/>
        </w:rPr>
      </w:pPr>
      <w:r>
        <w:rPr>
          <w:rStyle w:val="normaltextrun"/>
          <w:rFonts w:ascii="Calibri" w:hAnsi="Calibri" w:cs="Calibri"/>
          <w:sz w:val="22"/>
          <w:szCs w:val="22"/>
        </w:rPr>
        <w:t xml:space="preserve">Following the completion of these payments in the 2025/26 season, </w:t>
      </w:r>
      <w:r>
        <w:rPr>
          <w:rStyle w:val="normaltextrun"/>
          <w:rFonts w:ascii="Calibri" w:hAnsi="Calibri" w:cs="Calibri"/>
          <w:sz w:val="22"/>
          <w:szCs w:val="22"/>
          <w:lang w:eastAsia="en-US"/>
        </w:rPr>
        <w:t>the Six Nations Unions will have sold a small minority stake in their future broadcast revenues, with the vast majority (6/7</w:t>
      </w:r>
      <w:r>
        <w:rPr>
          <w:rStyle w:val="normaltextrun"/>
          <w:rFonts w:ascii="Calibri" w:hAnsi="Calibri" w:cs="Calibri"/>
          <w:sz w:val="22"/>
          <w:szCs w:val="22"/>
          <w:vertAlign w:val="superscript"/>
          <w:lang w:eastAsia="en-US"/>
        </w:rPr>
        <w:t>ths</w:t>
      </w:r>
      <w:r>
        <w:rPr>
          <w:rStyle w:val="normaltextrun"/>
          <w:rFonts w:ascii="Calibri" w:hAnsi="Calibri" w:cs="Calibri"/>
          <w:sz w:val="22"/>
          <w:szCs w:val="22"/>
          <w:lang w:eastAsia="en-US"/>
        </w:rPr>
        <w:t>) remaining with the Six Nations Unions. </w:t>
      </w:r>
      <w:r>
        <w:rPr>
          <w:rStyle w:val="eop"/>
          <w:rFonts w:ascii="Calibri" w:hAnsi="Calibri" w:cs="Calibri"/>
          <w:sz w:val="22"/>
          <w:szCs w:val="22"/>
          <w:lang w:eastAsia="en-US"/>
        </w:rPr>
        <w:t> </w:t>
      </w:r>
    </w:p>
    <w:p w14:paraId="6EAF5C70"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p>
    <w:p w14:paraId="587A3916"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CVC is an experienced investor, with investments in more than 125 companies worldwide and with a proven track record of investing in sporting competitions over the last 20 years, such as Formula One and Moto GP, and currently the Six Nations Championship, Premiership Rugby and the United Rugby Championship in rugby, La </w:t>
      </w:r>
      <w:proofErr w:type="gramStart"/>
      <w:r>
        <w:rPr>
          <w:rStyle w:val="normaltextrun"/>
          <w:rFonts w:ascii="Calibri" w:hAnsi="Calibri" w:cs="Calibri"/>
          <w:sz w:val="22"/>
          <w:szCs w:val="22"/>
        </w:rPr>
        <w:t>Liga</w:t>
      </w:r>
      <w:proofErr w:type="gramEnd"/>
      <w:r>
        <w:rPr>
          <w:rStyle w:val="normaltextrun"/>
          <w:rFonts w:ascii="Calibri" w:hAnsi="Calibri" w:cs="Calibri"/>
          <w:sz w:val="22"/>
          <w:szCs w:val="22"/>
        </w:rPr>
        <w:t xml:space="preserve"> and Ligue de Football </w:t>
      </w:r>
      <w:proofErr w:type="spellStart"/>
      <w:r>
        <w:rPr>
          <w:rStyle w:val="normaltextrun"/>
          <w:rFonts w:ascii="Calibri" w:hAnsi="Calibri" w:cs="Calibri"/>
          <w:sz w:val="22"/>
          <w:szCs w:val="22"/>
        </w:rPr>
        <w:t>Professionnel</w:t>
      </w:r>
      <w:proofErr w:type="spellEnd"/>
      <w:r>
        <w:rPr>
          <w:rStyle w:val="normaltextrun"/>
          <w:rFonts w:ascii="Calibri" w:hAnsi="Calibri" w:cs="Calibri"/>
          <w:sz w:val="22"/>
          <w:szCs w:val="22"/>
        </w:rPr>
        <w:t xml:space="preserve"> in football, the IPL in cricket and the Women’s Tennis Association in tennis. </w:t>
      </w:r>
    </w:p>
    <w:p w14:paraId="63ECD955"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p>
    <w:p w14:paraId="105A71A4"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The benefits of Project Light were: (1) co-ordination of broadcast rights, and (2) bringing on board a commercial partner to focus on commercial growth and help drive long-term success. Together the Six Nations Unions and CVC have been working together since 2021 to increase the annual profits of the Six Nations commercial company by developing the commercial potential of the business. The Unions retain full control of sporting and regulatory matters.</w:t>
      </w:r>
    </w:p>
    <w:p w14:paraId="78C6594C"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p>
    <w:p w14:paraId="6C5CA5B4" w14:textId="77777777" w:rsidR="00C1666F" w:rsidRDefault="00C1666F" w:rsidP="00C1666F">
      <w:pPr>
        <w:pStyle w:val="paragraph"/>
        <w:spacing w:before="0" w:beforeAutospacing="0" w:after="0" w:afterAutospacing="0"/>
        <w:textAlignment w:val="baseline"/>
        <w:rPr>
          <w:rStyle w:val="eop"/>
        </w:rPr>
      </w:pPr>
      <w:r>
        <w:rPr>
          <w:rStyle w:val="normaltextrun"/>
          <w:rFonts w:ascii="Calibri" w:hAnsi="Calibri" w:cs="Calibri"/>
          <w:sz w:val="22"/>
          <w:szCs w:val="22"/>
        </w:rPr>
        <w:t>A key pillar of Project Light was the alignment of the broadcast rights of the Six Nations tournament with those of the Autumn Internationals, and while CVC will eventually take a 1/7</w:t>
      </w:r>
      <w:r>
        <w:rPr>
          <w:rStyle w:val="normaltextrun"/>
          <w:rFonts w:ascii="Calibri" w:hAnsi="Calibri" w:cs="Calibri"/>
          <w:sz w:val="22"/>
          <w:szCs w:val="22"/>
          <w:vertAlign w:val="superscript"/>
        </w:rPr>
        <w:t>th</w:t>
      </w:r>
      <w:r>
        <w:rPr>
          <w:rStyle w:val="normaltextrun"/>
          <w:rFonts w:ascii="Calibri" w:hAnsi="Calibri" w:cs="Calibri"/>
          <w:sz w:val="22"/>
          <w:szCs w:val="22"/>
        </w:rPr>
        <w:t xml:space="preserve"> stake, each Union will be better off over the long term than if the Unions had not initiated Project Light, through better distribution of the broadcast and sponsorship rights, as well as potential cost savings from working together. Prior to this co-ordination, each union sold their Autumn International broadcast </w:t>
      </w:r>
      <w:r>
        <w:rPr>
          <w:rStyle w:val="normaltextrun"/>
          <w:rFonts w:ascii="Calibri" w:hAnsi="Calibri" w:cs="Calibri"/>
          <w:sz w:val="22"/>
          <w:szCs w:val="22"/>
        </w:rPr>
        <w:lastRenderedPageBreak/>
        <w:t>rights separately, meaning broadcasts were spread across different channels, with unaligned kick-off times, reducing value for all unions.</w:t>
      </w:r>
      <w:r>
        <w:rPr>
          <w:rStyle w:val="eop"/>
          <w:rFonts w:ascii="Calibri" w:hAnsi="Calibri" w:cs="Calibri"/>
          <w:sz w:val="22"/>
          <w:szCs w:val="22"/>
        </w:rPr>
        <w:t> Optimised broadcast rights for all competitions will be achieved through collaboration between unions and competitions and leagues, not by operating separately as has been the case in the past. </w:t>
      </w:r>
    </w:p>
    <w:p w14:paraId="394DD637" w14:textId="77777777" w:rsidR="00C1666F" w:rsidRDefault="00C1666F" w:rsidP="00C1666F">
      <w:pPr>
        <w:pStyle w:val="paragraph"/>
        <w:spacing w:before="0" w:beforeAutospacing="0" w:after="0" w:afterAutospacing="0"/>
        <w:textAlignment w:val="baseline"/>
        <w:rPr>
          <w:rStyle w:val="eop"/>
          <w:rFonts w:ascii="Calibri" w:hAnsi="Calibri" w:cs="Calibri"/>
          <w:sz w:val="22"/>
          <w:szCs w:val="22"/>
        </w:rPr>
      </w:pPr>
    </w:p>
    <w:p w14:paraId="7A1FBE24" w14:textId="77777777" w:rsidR="00C1666F" w:rsidRDefault="00C1666F" w:rsidP="00C1666F">
      <w:pPr>
        <w:pStyle w:val="paragraph"/>
        <w:spacing w:before="0" w:beforeAutospacing="0" w:after="0" w:afterAutospacing="0"/>
        <w:textAlignment w:val="baseline"/>
        <w:rPr>
          <w:rStyle w:val="normaltextrun"/>
        </w:rPr>
      </w:pPr>
      <w:r>
        <w:rPr>
          <w:rStyle w:val="normaltextrun"/>
          <w:rFonts w:ascii="Calibri" w:hAnsi="Calibri" w:cs="Calibri"/>
          <w:sz w:val="22"/>
          <w:szCs w:val="22"/>
        </w:rPr>
        <w:t>As stated above, in return for their final 1/7</w:t>
      </w:r>
      <w:r>
        <w:rPr>
          <w:rStyle w:val="normaltextrun"/>
          <w:rFonts w:ascii="Calibri" w:hAnsi="Calibri" w:cs="Calibri"/>
          <w:sz w:val="22"/>
          <w:szCs w:val="22"/>
          <w:vertAlign w:val="superscript"/>
        </w:rPr>
        <w:t>th</w:t>
      </w:r>
      <w:r>
        <w:rPr>
          <w:rStyle w:val="normaltextrun"/>
          <w:rFonts w:ascii="Calibri" w:hAnsi="Calibri" w:cs="Calibri"/>
          <w:sz w:val="22"/>
          <w:szCs w:val="22"/>
        </w:rPr>
        <w:t xml:space="preserve"> stake, CVC committed to pay up to £365m. The RFU share of [the guaranteed element of] this is £90.8m, with no restrictions placed on the use of the funds. Today, with the value of Six Nations rights having remained steady, the RFU is receiving significantly more broadcast revenue than it would have made without initiating Project Light.  </w:t>
      </w:r>
    </w:p>
    <w:p w14:paraId="2ECE53D4"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p>
    <w:p w14:paraId="3C72C375" w14:textId="77777777" w:rsidR="00C1666F" w:rsidRDefault="00C1666F" w:rsidP="00C1666F">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Project Light agreed in 2021, the same year COVID had a significant impact on the unions ability to generate revenues. Had the deal not taken place, the RFU would have carried forward its pre-existing debt and continued to incur significant costs on loans. It would have resulted in a negative P&amp;L reserve position at the end of the current four-year cycle. This would have meant reducing rugby investment to bring P&amp;L reserves back in line. </w:t>
      </w:r>
    </w:p>
    <w:p w14:paraId="19C1385F" w14:textId="77777777" w:rsidR="00C1666F" w:rsidRDefault="00C1666F" w:rsidP="00C1666F">
      <w:pPr>
        <w:pStyle w:val="paragraph"/>
        <w:spacing w:before="0" w:beforeAutospacing="0" w:after="0" w:afterAutospacing="0"/>
        <w:textAlignment w:val="baseline"/>
        <w:rPr>
          <w:rStyle w:val="normaltextrun"/>
          <w:rFonts w:asciiTheme="minorHAnsi" w:hAnsiTheme="minorHAnsi" w:cstheme="minorHAnsi"/>
          <w:sz w:val="22"/>
          <w:szCs w:val="22"/>
        </w:rPr>
      </w:pPr>
    </w:p>
    <w:p w14:paraId="249C5853" w14:textId="77777777" w:rsidR="00C1666F" w:rsidRDefault="00C1666F" w:rsidP="00C1666F">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The table below provides a summary of some of the recently published inaccuracies and provides the facts on each.</w:t>
      </w:r>
    </w:p>
    <w:p w14:paraId="1CF52A64" w14:textId="77777777" w:rsidR="00C1666F" w:rsidRDefault="00C1666F" w:rsidP="00C1666F">
      <w:pPr>
        <w:pStyle w:val="paragraph"/>
        <w:spacing w:before="0" w:beforeAutospacing="0" w:after="0" w:afterAutospacing="0"/>
        <w:textAlignment w:val="baseline"/>
        <w:rPr>
          <w:rStyle w:val="normaltextrun"/>
          <w:rFonts w:asciiTheme="minorHAnsi" w:hAnsiTheme="minorHAnsi" w:cstheme="minorHAnsi"/>
          <w:sz w:val="22"/>
          <w:szCs w:val="22"/>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5606"/>
      </w:tblGrid>
      <w:tr w:rsidR="00C1666F" w14:paraId="3FF945B1" w14:textId="77777777" w:rsidTr="00C1666F">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C00000"/>
            <w:hideMark/>
          </w:tcPr>
          <w:p w14:paraId="046807B0"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b/>
                <w:bCs/>
                <w:color w:val="FFFFFF"/>
                <w:kern w:val="2"/>
                <w:lang w:eastAsia="en-US"/>
                <w14:ligatures w14:val="standardContextual"/>
              </w:rPr>
              <w:t xml:space="preserve">Reported inaccuracies </w:t>
            </w:r>
          </w:p>
        </w:tc>
        <w:tc>
          <w:tcPr>
            <w:tcW w:w="5606" w:type="dxa"/>
            <w:tcBorders>
              <w:top w:val="single" w:sz="6" w:space="0" w:color="auto"/>
              <w:left w:val="single" w:sz="6" w:space="0" w:color="auto"/>
              <w:bottom w:val="single" w:sz="6" w:space="0" w:color="auto"/>
              <w:right w:val="single" w:sz="6" w:space="0" w:color="auto"/>
            </w:tcBorders>
            <w:shd w:val="clear" w:color="auto" w:fill="C00000"/>
            <w:hideMark/>
          </w:tcPr>
          <w:p w14:paraId="25FB97BF" w14:textId="77777777" w:rsidR="00C1666F" w:rsidRDefault="00C1666F">
            <w:pPr>
              <w:pStyle w:val="paragraph"/>
              <w:spacing w:before="0" w:beforeAutospacing="0" w:after="0" w:afterAutospacing="0" w:line="256" w:lineRule="auto"/>
              <w:textAlignment w:val="baseline"/>
              <w:rPr>
                <w:b/>
                <w:bCs/>
                <w:kern w:val="2"/>
                <w:lang w:eastAsia="en-US"/>
                <w14:ligatures w14:val="standardContextual"/>
              </w:rPr>
            </w:pPr>
            <w:r>
              <w:rPr>
                <w:rStyle w:val="normaltextrun"/>
                <w:rFonts w:ascii="Calibri" w:hAnsi="Calibri" w:cs="Calibri"/>
                <w:b/>
                <w:bCs/>
                <w:color w:val="FFFFFF"/>
                <w:kern w:val="2"/>
                <w:lang w:eastAsia="en-US"/>
                <w14:ligatures w14:val="standardContextual"/>
              </w:rPr>
              <w:t>RFU Response</w:t>
            </w:r>
            <w:r>
              <w:rPr>
                <w:rStyle w:val="eop"/>
                <w:rFonts w:ascii="Calibri" w:hAnsi="Calibri" w:cs="Calibri"/>
                <w:b/>
                <w:bCs/>
                <w:kern w:val="2"/>
                <w:sz w:val="22"/>
                <w:szCs w:val="22"/>
                <w:lang w:eastAsia="en-US"/>
                <w14:ligatures w14:val="standardContextual"/>
              </w:rPr>
              <w:t> </w:t>
            </w:r>
          </w:p>
        </w:tc>
      </w:tr>
      <w:tr w:rsidR="00C1666F" w14:paraId="3A223277" w14:textId="77777777" w:rsidTr="00C1666F">
        <w:trPr>
          <w:trHeight w:val="300"/>
        </w:trPr>
        <w:tc>
          <w:tcPr>
            <w:tcW w:w="3394" w:type="dxa"/>
            <w:tcBorders>
              <w:top w:val="single" w:sz="6" w:space="0" w:color="auto"/>
              <w:left w:val="single" w:sz="6" w:space="0" w:color="auto"/>
              <w:bottom w:val="single" w:sz="6" w:space="0" w:color="auto"/>
              <w:right w:val="single" w:sz="6" w:space="0" w:color="auto"/>
            </w:tcBorders>
            <w:hideMark/>
          </w:tcPr>
          <w:p w14:paraId="58F35FD5"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i/>
                <w:iCs/>
                <w:kern w:val="2"/>
                <w:sz w:val="22"/>
                <w:szCs w:val="22"/>
                <w:lang w:eastAsia="en-US"/>
                <w14:ligatures w14:val="standardContextual"/>
              </w:rPr>
              <w:t>The deal signed with CVC stipulated the RFU would receive a cash injection which can only be used for capital projects </w:t>
            </w:r>
            <w:r>
              <w:rPr>
                <w:rStyle w:val="normaltextrun"/>
                <w:rFonts w:ascii="Calibri" w:hAnsi="Calibri" w:cs="Calibri"/>
                <w:kern w:val="2"/>
                <w:sz w:val="22"/>
                <w:szCs w:val="22"/>
                <w:lang w:eastAsia="en-US"/>
                <w14:ligatures w14:val="standardContextual"/>
              </w:rPr>
              <w:t> </w:t>
            </w:r>
            <w:r>
              <w:rPr>
                <w:rStyle w:val="eop"/>
                <w:rFonts w:ascii="Calibri" w:hAnsi="Calibri" w:cs="Calibri"/>
                <w:kern w:val="2"/>
                <w:sz w:val="22"/>
                <w:szCs w:val="22"/>
                <w:lang w:eastAsia="en-US"/>
                <w14:ligatures w14:val="standardContextual"/>
              </w:rPr>
              <w:t> </w:t>
            </w:r>
          </w:p>
        </w:tc>
        <w:tc>
          <w:tcPr>
            <w:tcW w:w="5606" w:type="dxa"/>
            <w:tcBorders>
              <w:top w:val="single" w:sz="6" w:space="0" w:color="auto"/>
              <w:left w:val="single" w:sz="6" w:space="0" w:color="auto"/>
              <w:bottom w:val="single" w:sz="6" w:space="0" w:color="auto"/>
              <w:right w:val="single" w:sz="6" w:space="0" w:color="auto"/>
            </w:tcBorders>
            <w:hideMark/>
          </w:tcPr>
          <w:p w14:paraId="0BB041A1" w14:textId="77777777" w:rsidR="00C1666F" w:rsidRDefault="00C1666F">
            <w:pPr>
              <w:pStyle w:val="paragraph"/>
              <w:spacing w:line="256" w:lineRule="auto"/>
              <w:textAlignment w:val="baseline"/>
              <w:rPr>
                <w:kern w:val="2"/>
                <w:lang w:eastAsia="en-US"/>
                <w14:ligatures w14:val="standardContextual"/>
              </w:rPr>
            </w:pPr>
            <w:r>
              <w:rPr>
                <w:rStyle w:val="normaltextrun"/>
                <w:rFonts w:ascii="Calibri" w:hAnsi="Calibri" w:cs="Calibri"/>
                <w:b/>
                <w:bCs/>
                <w:kern w:val="2"/>
                <w:sz w:val="22"/>
                <w:szCs w:val="22"/>
                <w:lang w:eastAsia="en-US"/>
                <w14:ligatures w14:val="standardContextual"/>
              </w:rPr>
              <w:t>This is inaccurate</w:t>
            </w:r>
            <w:r>
              <w:rPr>
                <w:rStyle w:val="normaltextrun"/>
                <w:rFonts w:ascii="Calibri" w:hAnsi="Calibri" w:cs="Calibri"/>
                <w:kern w:val="2"/>
                <w:sz w:val="22"/>
                <w:szCs w:val="22"/>
                <w:lang w:eastAsia="en-US"/>
                <w14:ligatures w14:val="standardContextual"/>
              </w:rPr>
              <w:t xml:space="preserve"> - there were no restrictions placed on the use of the funds.</w:t>
            </w:r>
            <w:r>
              <w:rPr>
                <w:rStyle w:val="normaltextrun"/>
                <w:rFonts w:ascii="Calibri" w:hAnsi="Calibri" w:cs="Calibri"/>
                <w:b/>
                <w:bCs/>
                <w:kern w:val="2"/>
                <w:sz w:val="22"/>
                <w:szCs w:val="22"/>
                <w:lang w:eastAsia="en-US"/>
                <w14:ligatures w14:val="standardContextual"/>
              </w:rPr>
              <w:t xml:space="preserve"> </w:t>
            </w:r>
            <w:r>
              <w:rPr>
                <w:rStyle w:val="normaltextrun"/>
                <w:rFonts w:ascii="Calibri" w:hAnsi="Calibri" w:cs="Calibri"/>
                <w:kern w:val="2"/>
                <w:sz w:val="22"/>
                <w:szCs w:val="22"/>
                <w:lang w:eastAsia="en-US"/>
                <w14:ligatures w14:val="standardContextual"/>
              </w:rPr>
              <w:t>The RFU board took a strategic decision to spend a large part of the proceeds on investments that will generate future revenues. </w:t>
            </w:r>
            <w:r>
              <w:rPr>
                <w:rStyle w:val="eop"/>
                <w:rFonts w:ascii="Calibri" w:hAnsi="Calibri" w:cs="Calibri"/>
                <w:kern w:val="2"/>
                <w:sz w:val="22"/>
                <w:szCs w:val="22"/>
                <w:lang w:eastAsia="en-US"/>
                <w14:ligatures w14:val="standardContextual"/>
              </w:rPr>
              <w:t> </w:t>
            </w:r>
          </w:p>
          <w:p w14:paraId="03D26966" w14:textId="77777777" w:rsidR="00C1666F" w:rsidRDefault="00C1666F">
            <w:pPr>
              <w:pStyle w:val="paragraph"/>
              <w:spacing w:line="256" w:lineRule="auto"/>
              <w:textAlignment w:val="baseline"/>
              <w:rPr>
                <w:rFonts w:ascii="Calibri" w:hAnsi="Calibri" w:cs="Calibri"/>
                <w:kern w:val="2"/>
                <w:sz w:val="22"/>
                <w:szCs w:val="22"/>
                <w:lang w:eastAsia="en-US"/>
                <w14:ligatures w14:val="standardContextual"/>
              </w:rPr>
            </w:pPr>
            <w:r>
              <w:rPr>
                <w:rStyle w:val="normaltextrun"/>
                <w:rFonts w:ascii="Calibri" w:hAnsi="Calibri" w:cs="Calibri"/>
                <w:kern w:val="2"/>
                <w:sz w:val="22"/>
                <w:szCs w:val="22"/>
                <w:lang w:eastAsia="en-US"/>
                <w14:ligatures w14:val="standardContextual"/>
              </w:rPr>
              <w:t>c.65% is being used for investment, of which £20m is going to towards Community Game Future. The remainder is held in reserve to enable the RFU to maintain rugby investment. </w:t>
            </w:r>
          </w:p>
        </w:tc>
      </w:tr>
      <w:tr w:rsidR="00C1666F" w14:paraId="60AD881F" w14:textId="77777777" w:rsidTr="00C1666F">
        <w:trPr>
          <w:trHeight w:val="300"/>
        </w:trPr>
        <w:tc>
          <w:tcPr>
            <w:tcW w:w="3394" w:type="dxa"/>
            <w:tcBorders>
              <w:top w:val="single" w:sz="6" w:space="0" w:color="auto"/>
              <w:left w:val="single" w:sz="6" w:space="0" w:color="auto"/>
              <w:bottom w:val="single" w:sz="6" w:space="0" w:color="auto"/>
              <w:right w:val="single" w:sz="6" w:space="0" w:color="auto"/>
            </w:tcBorders>
            <w:hideMark/>
          </w:tcPr>
          <w:p w14:paraId="4CF6D2DA"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i/>
                <w:iCs/>
                <w:kern w:val="2"/>
                <w:sz w:val="22"/>
                <w:szCs w:val="22"/>
                <w:lang w:eastAsia="en-US"/>
                <w14:ligatures w14:val="standardContextual"/>
              </w:rPr>
              <w:t>CVC receives 14.3% of each union's annual broadcast and sponsorship revenue over five years.</w:t>
            </w:r>
            <w:r>
              <w:rPr>
                <w:rStyle w:val="normaltextrun"/>
                <w:rFonts w:ascii="Calibri" w:hAnsi="Calibri" w:cs="Calibri"/>
                <w:kern w:val="2"/>
                <w:sz w:val="22"/>
                <w:szCs w:val="22"/>
                <w:lang w:eastAsia="en-US"/>
                <w14:ligatures w14:val="standardContextual"/>
              </w:rPr>
              <w:t> </w:t>
            </w:r>
            <w:r>
              <w:rPr>
                <w:rStyle w:val="eop"/>
                <w:rFonts w:ascii="Calibri" w:hAnsi="Calibri" w:cs="Calibri"/>
                <w:kern w:val="2"/>
                <w:sz w:val="22"/>
                <w:szCs w:val="22"/>
                <w:lang w:eastAsia="en-US"/>
                <w14:ligatures w14:val="standardContextual"/>
              </w:rPr>
              <w:t> </w:t>
            </w:r>
          </w:p>
          <w:p w14:paraId="3403C3F2"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kern w:val="2"/>
                <w:sz w:val="22"/>
                <w:szCs w:val="22"/>
                <w:lang w:eastAsia="en-US"/>
                <w14:ligatures w14:val="standardContextual"/>
              </w:rPr>
              <w:t> </w:t>
            </w:r>
            <w:r>
              <w:rPr>
                <w:rStyle w:val="eop"/>
                <w:rFonts w:ascii="Calibri" w:hAnsi="Calibri" w:cs="Calibri"/>
                <w:kern w:val="2"/>
                <w:sz w:val="22"/>
                <w:szCs w:val="22"/>
                <w:lang w:eastAsia="en-US"/>
                <w14:ligatures w14:val="standardContextual"/>
              </w:rPr>
              <w:t> </w:t>
            </w:r>
          </w:p>
        </w:tc>
        <w:tc>
          <w:tcPr>
            <w:tcW w:w="5606" w:type="dxa"/>
            <w:tcBorders>
              <w:top w:val="single" w:sz="6" w:space="0" w:color="auto"/>
              <w:left w:val="single" w:sz="6" w:space="0" w:color="auto"/>
              <w:bottom w:val="single" w:sz="6" w:space="0" w:color="auto"/>
              <w:right w:val="single" w:sz="6" w:space="0" w:color="auto"/>
            </w:tcBorders>
            <w:hideMark/>
          </w:tcPr>
          <w:p w14:paraId="0F80F116" w14:textId="77777777" w:rsidR="00C1666F" w:rsidRDefault="00C1666F">
            <w:pPr>
              <w:pStyle w:val="paragraph"/>
              <w:spacing w:before="0" w:beforeAutospacing="0" w:after="0" w:afterAutospacing="0" w:line="256" w:lineRule="auto"/>
              <w:textAlignment w:val="baseline"/>
              <w:rPr>
                <w:rFonts w:ascii="Calibri" w:hAnsi="Calibri" w:cs="Calibri"/>
                <w:kern w:val="2"/>
                <w:sz w:val="22"/>
                <w:szCs w:val="22"/>
                <w:lang w:eastAsia="en-US"/>
                <w14:ligatures w14:val="standardContextual"/>
              </w:rPr>
            </w:pPr>
            <w:r>
              <w:rPr>
                <w:rStyle w:val="normaltextrun"/>
                <w:rFonts w:ascii="Calibri" w:hAnsi="Calibri" w:cs="Calibri"/>
                <w:b/>
                <w:bCs/>
                <w:kern w:val="2"/>
                <w:sz w:val="22"/>
                <w:szCs w:val="22"/>
                <w:lang w:eastAsia="en-US"/>
                <w14:ligatures w14:val="standardContextual"/>
              </w:rPr>
              <w:t>This is not correct</w:t>
            </w:r>
            <w:r>
              <w:rPr>
                <w:rStyle w:val="normaltextrun"/>
                <w:rFonts w:ascii="Calibri" w:hAnsi="Calibri" w:cs="Calibri"/>
                <w:kern w:val="2"/>
                <w:sz w:val="22"/>
                <w:szCs w:val="22"/>
                <w:lang w:eastAsia="en-US"/>
                <w14:ligatures w14:val="standardContextual"/>
              </w:rPr>
              <w:t xml:space="preserve"> - The unions sold a stake in their future broadcast revenues. CVC’s 14.3% stake will be acquired incrementally over five years between 2021 and the 2025/26 season. All other union sponsorship remains with individual unions. </w:t>
            </w:r>
            <w:r>
              <w:rPr>
                <w:rStyle w:val="eop"/>
                <w:rFonts w:ascii="Calibri" w:hAnsi="Calibri" w:cs="Calibri"/>
                <w:kern w:val="2"/>
                <w:sz w:val="22"/>
                <w:szCs w:val="22"/>
                <w:lang w:eastAsia="en-US"/>
                <w14:ligatures w14:val="standardContextual"/>
              </w:rPr>
              <w:t> </w:t>
            </w:r>
          </w:p>
        </w:tc>
      </w:tr>
      <w:tr w:rsidR="00C1666F" w14:paraId="76EC8E41" w14:textId="77777777" w:rsidTr="00C1666F">
        <w:trPr>
          <w:trHeight w:val="300"/>
        </w:trPr>
        <w:tc>
          <w:tcPr>
            <w:tcW w:w="3394" w:type="dxa"/>
            <w:tcBorders>
              <w:top w:val="single" w:sz="6" w:space="0" w:color="auto"/>
              <w:left w:val="single" w:sz="6" w:space="0" w:color="auto"/>
              <w:bottom w:val="single" w:sz="6" w:space="0" w:color="auto"/>
              <w:right w:val="single" w:sz="6" w:space="0" w:color="auto"/>
            </w:tcBorders>
            <w:hideMark/>
          </w:tcPr>
          <w:p w14:paraId="7C4BF0C3"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i/>
                <w:iCs/>
                <w:kern w:val="2"/>
                <w:sz w:val="22"/>
                <w:szCs w:val="22"/>
                <w:lang w:eastAsia="en-US"/>
                <w14:ligatures w14:val="standardContextual"/>
              </w:rPr>
              <w:t>The RFU is handing back almost £16m to CVC per year. Over the five-year term this amounts to CVC receiving almost £80m from the RFU’s revenue.</w:t>
            </w:r>
            <w:r>
              <w:rPr>
                <w:rStyle w:val="normaltextrun"/>
                <w:rFonts w:ascii="Calibri" w:hAnsi="Calibri" w:cs="Calibri"/>
                <w:kern w:val="2"/>
                <w:sz w:val="22"/>
                <w:szCs w:val="22"/>
                <w:lang w:eastAsia="en-US"/>
                <w14:ligatures w14:val="standardContextual"/>
              </w:rPr>
              <w:t> </w:t>
            </w:r>
            <w:r>
              <w:rPr>
                <w:rStyle w:val="eop"/>
                <w:rFonts w:ascii="Calibri" w:hAnsi="Calibri" w:cs="Calibri"/>
                <w:kern w:val="2"/>
                <w:sz w:val="22"/>
                <w:szCs w:val="22"/>
                <w:lang w:eastAsia="en-US"/>
                <w14:ligatures w14:val="standardContextual"/>
              </w:rPr>
              <w:t> </w:t>
            </w:r>
          </w:p>
        </w:tc>
        <w:tc>
          <w:tcPr>
            <w:tcW w:w="5606" w:type="dxa"/>
            <w:tcBorders>
              <w:top w:val="single" w:sz="6" w:space="0" w:color="auto"/>
              <w:left w:val="single" w:sz="6" w:space="0" w:color="auto"/>
              <w:bottom w:val="single" w:sz="6" w:space="0" w:color="auto"/>
              <w:right w:val="single" w:sz="6" w:space="0" w:color="auto"/>
            </w:tcBorders>
            <w:hideMark/>
          </w:tcPr>
          <w:p w14:paraId="08607170" w14:textId="77777777" w:rsidR="00C1666F" w:rsidRDefault="00C1666F">
            <w:pPr>
              <w:pStyle w:val="paragraph"/>
              <w:spacing w:before="0" w:beforeAutospacing="0" w:after="0" w:afterAutospacing="0" w:line="256" w:lineRule="auto"/>
              <w:textAlignment w:val="baseline"/>
              <w:rPr>
                <w:rFonts w:ascii="Calibri" w:hAnsi="Calibri" w:cs="Calibri"/>
                <w:kern w:val="2"/>
                <w:sz w:val="22"/>
                <w:szCs w:val="22"/>
                <w:lang w:eastAsia="en-US"/>
                <w14:ligatures w14:val="standardContextual"/>
              </w:rPr>
            </w:pPr>
            <w:r>
              <w:rPr>
                <w:rStyle w:val="normaltextrun"/>
                <w:rFonts w:ascii="Calibri" w:hAnsi="Calibri" w:cs="Calibri"/>
                <w:b/>
                <w:bCs/>
                <w:kern w:val="2"/>
                <w:sz w:val="22"/>
                <w:szCs w:val="22"/>
                <w:lang w:eastAsia="en-US"/>
                <w14:ligatures w14:val="standardContextual"/>
              </w:rPr>
              <w:t>This is not correct</w:t>
            </w:r>
            <w:r>
              <w:rPr>
                <w:rStyle w:val="normaltextrun"/>
                <w:rFonts w:ascii="Calibri" w:hAnsi="Calibri" w:cs="Calibri"/>
                <w:kern w:val="2"/>
                <w:sz w:val="22"/>
                <w:szCs w:val="22"/>
                <w:lang w:eastAsia="en-US"/>
                <w14:ligatures w14:val="standardContextual"/>
              </w:rPr>
              <w:t xml:space="preserve"> – the portion of RFU broadcast income acquired is built up to 14.3% incrementally over five years between 2021 and the 2025/26 season. This is equivalent to less than 20% of the £90.8m received from Project Light over the same period, meaning the RFU is receiving significantly more than it would have without initiating Project Light.</w:t>
            </w:r>
          </w:p>
        </w:tc>
      </w:tr>
      <w:tr w:rsidR="00C1666F" w14:paraId="2C2918BB" w14:textId="77777777" w:rsidTr="00C1666F">
        <w:trPr>
          <w:trHeight w:val="300"/>
        </w:trPr>
        <w:tc>
          <w:tcPr>
            <w:tcW w:w="3394" w:type="dxa"/>
            <w:tcBorders>
              <w:top w:val="single" w:sz="6" w:space="0" w:color="auto"/>
              <w:left w:val="single" w:sz="6" w:space="0" w:color="auto"/>
              <w:bottom w:val="single" w:sz="6" w:space="0" w:color="auto"/>
              <w:right w:val="single" w:sz="6" w:space="0" w:color="auto"/>
            </w:tcBorders>
            <w:hideMark/>
          </w:tcPr>
          <w:p w14:paraId="6C1A5922"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i/>
                <w:iCs/>
                <w:kern w:val="2"/>
                <w:sz w:val="22"/>
                <w:szCs w:val="22"/>
                <w:lang w:eastAsia="en-US"/>
                <w14:ligatures w14:val="standardContextual"/>
              </w:rPr>
              <w:t>The RFU has sold some of its most valuable rights for a minimal gain of £15m, or £3m a year.</w:t>
            </w:r>
            <w:r>
              <w:rPr>
                <w:rStyle w:val="normaltextrun"/>
                <w:rFonts w:ascii="Calibri" w:hAnsi="Calibri" w:cs="Calibri"/>
                <w:kern w:val="2"/>
                <w:sz w:val="22"/>
                <w:szCs w:val="22"/>
                <w:lang w:eastAsia="en-US"/>
                <w14:ligatures w14:val="standardContextual"/>
              </w:rPr>
              <w:t> </w:t>
            </w:r>
            <w:r>
              <w:rPr>
                <w:rStyle w:val="eop"/>
                <w:rFonts w:ascii="Calibri" w:hAnsi="Calibri" w:cs="Calibri"/>
                <w:kern w:val="2"/>
                <w:sz w:val="22"/>
                <w:szCs w:val="22"/>
                <w:lang w:eastAsia="en-US"/>
                <w14:ligatures w14:val="standardContextual"/>
              </w:rPr>
              <w:t> </w:t>
            </w:r>
          </w:p>
          <w:p w14:paraId="49DA6191"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kern w:val="2"/>
                <w:sz w:val="22"/>
                <w:szCs w:val="22"/>
                <w:lang w:eastAsia="en-US"/>
                <w14:ligatures w14:val="standardContextual"/>
              </w:rPr>
              <w:t> </w:t>
            </w:r>
            <w:r>
              <w:rPr>
                <w:rStyle w:val="eop"/>
                <w:rFonts w:ascii="Calibri" w:hAnsi="Calibri" w:cs="Calibri"/>
                <w:kern w:val="2"/>
                <w:sz w:val="22"/>
                <w:szCs w:val="22"/>
                <w:lang w:eastAsia="en-US"/>
                <w14:ligatures w14:val="standardContextual"/>
              </w:rPr>
              <w:t> </w:t>
            </w:r>
          </w:p>
        </w:tc>
        <w:tc>
          <w:tcPr>
            <w:tcW w:w="5606" w:type="dxa"/>
            <w:tcBorders>
              <w:top w:val="single" w:sz="6" w:space="0" w:color="auto"/>
              <w:left w:val="single" w:sz="6" w:space="0" w:color="auto"/>
              <w:bottom w:val="single" w:sz="6" w:space="0" w:color="auto"/>
              <w:right w:val="single" w:sz="6" w:space="0" w:color="auto"/>
            </w:tcBorders>
            <w:hideMark/>
          </w:tcPr>
          <w:p w14:paraId="59DDC706"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b/>
                <w:bCs/>
                <w:kern w:val="2"/>
                <w:sz w:val="22"/>
                <w:szCs w:val="22"/>
                <w:lang w:eastAsia="en-US"/>
                <w14:ligatures w14:val="standardContextual"/>
              </w:rPr>
              <w:t>This is n</w:t>
            </w:r>
            <w:r>
              <w:rPr>
                <w:rStyle w:val="normaltextrun"/>
                <w:rFonts w:ascii="Calibri" w:hAnsi="Calibri" w:cs="Calibri"/>
                <w:b/>
                <w:bCs/>
                <w:kern w:val="2"/>
                <w:lang w:eastAsia="en-US"/>
                <w14:ligatures w14:val="standardContextual"/>
              </w:rPr>
              <w:t>ot correct</w:t>
            </w:r>
            <w:r>
              <w:rPr>
                <w:rStyle w:val="normaltextrun"/>
                <w:rFonts w:ascii="Calibri" w:hAnsi="Calibri" w:cs="Calibri"/>
                <w:kern w:val="2"/>
                <w:lang w:eastAsia="en-US"/>
                <w14:ligatures w14:val="standardContextual"/>
              </w:rPr>
              <w:t xml:space="preserve"> </w:t>
            </w:r>
            <w:r>
              <w:rPr>
                <w:rStyle w:val="normaltextrun"/>
                <w:rFonts w:ascii="Calibri" w:hAnsi="Calibri" w:cs="Calibri"/>
                <w:kern w:val="2"/>
                <w:sz w:val="22"/>
                <w:szCs w:val="22"/>
                <w:lang w:eastAsia="en-US"/>
                <w14:ligatures w14:val="standardContextual"/>
              </w:rPr>
              <w:t>– over the five-year period between 2021 and the 2025/26 season the “gain” referenced is £72.4m, not £15m. </w:t>
            </w:r>
            <w:r>
              <w:rPr>
                <w:rStyle w:val="eop"/>
                <w:rFonts w:ascii="Calibri" w:hAnsi="Calibri" w:cs="Calibri"/>
                <w:kern w:val="2"/>
                <w:sz w:val="22"/>
                <w:szCs w:val="22"/>
                <w:lang w:eastAsia="en-US"/>
                <w14:ligatures w14:val="standardContextual"/>
              </w:rPr>
              <w:t> </w:t>
            </w:r>
          </w:p>
        </w:tc>
      </w:tr>
      <w:tr w:rsidR="00C1666F" w14:paraId="0CFBF6D7" w14:textId="77777777" w:rsidTr="00C1666F">
        <w:trPr>
          <w:trHeight w:val="300"/>
        </w:trPr>
        <w:tc>
          <w:tcPr>
            <w:tcW w:w="3394" w:type="dxa"/>
            <w:tcBorders>
              <w:top w:val="single" w:sz="6" w:space="0" w:color="auto"/>
              <w:left w:val="single" w:sz="6" w:space="0" w:color="auto"/>
              <w:bottom w:val="single" w:sz="6" w:space="0" w:color="auto"/>
              <w:right w:val="single" w:sz="6" w:space="0" w:color="auto"/>
            </w:tcBorders>
            <w:hideMark/>
          </w:tcPr>
          <w:p w14:paraId="3FA698D2" w14:textId="77777777" w:rsidR="00C1666F" w:rsidRDefault="00C1666F">
            <w:pPr>
              <w:pStyle w:val="paragraph"/>
              <w:spacing w:before="0" w:beforeAutospacing="0" w:after="0" w:afterAutospacing="0" w:line="256" w:lineRule="auto"/>
              <w:textAlignment w:val="baseline"/>
              <w:rPr>
                <w:kern w:val="2"/>
                <w:lang w:eastAsia="en-US"/>
                <w14:ligatures w14:val="standardContextual"/>
              </w:rPr>
            </w:pPr>
            <w:r>
              <w:rPr>
                <w:rStyle w:val="normaltextrun"/>
                <w:rFonts w:ascii="Calibri" w:hAnsi="Calibri" w:cs="Calibri"/>
                <w:i/>
                <w:iCs/>
                <w:kern w:val="2"/>
                <w:sz w:val="22"/>
                <w:szCs w:val="22"/>
                <w:lang w:eastAsia="en-US"/>
                <w14:ligatures w14:val="standardContextual"/>
              </w:rPr>
              <w:t xml:space="preserve">The RFU has signed over its rights to the Autumn Internationals. This leaves the RFU with no control over any of its TV rights, including no leverage in getting its smaller competitions, like the Championship, </w:t>
            </w:r>
            <w:r>
              <w:rPr>
                <w:rStyle w:val="normaltextrun"/>
                <w:rFonts w:ascii="Calibri" w:hAnsi="Calibri" w:cs="Calibri"/>
                <w:i/>
                <w:iCs/>
                <w:kern w:val="2"/>
                <w:sz w:val="22"/>
                <w:szCs w:val="22"/>
                <w:lang w:eastAsia="en-US"/>
                <w14:ligatures w14:val="standardContextual"/>
              </w:rPr>
              <w:lastRenderedPageBreak/>
              <w:t>televised.</w:t>
            </w:r>
            <w:r>
              <w:rPr>
                <w:rStyle w:val="normaltextrun"/>
                <w:rFonts w:ascii="Calibri" w:hAnsi="Calibri" w:cs="Calibri"/>
                <w:kern w:val="2"/>
                <w:sz w:val="22"/>
                <w:szCs w:val="22"/>
                <w:lang w:eastAsia="en-US"/>
                <w14:ligatures w14:val="standardContextual"/>
              </w:rPr>
              <w:t> </w:t>
            </w:r>
            <w:r>
              <w:rPr>
                <w:rStyle w:val="eop"/>
                <w:rFonts w:ascii="Calibri" w:hAnsi="Calibri" w:cs="Calibri"/>
                <w:kern w:val="2"/>
                <w:sz w:val="22"/>
                <w:szCs w:val="22"/>
                <w:lang w:eastAsia="en-US"/>
                <w14:ligatures w14:val="standardContextual"/>
              </w:rPr>
              <w:t> </w:t>
            </w:r>
          </w:p>
        </w:tc>
        <w:tc>
          <w:tcPr>
            <w:tcW w:w="5606" w:type="dxa"/>
            <w:tcBorders>
              <w:top w:val="single" w:sz="6" w:space="0" w:color="auto"/>
              <w:left w:val="single" w:sz="6" w:space="0" w:color="auto"/>
              <w:bottom w:val="single" w:sz="6" w:space="0" w:color="auto"/>
              <w:right w:val="single" w:sz="6" w:space="0" w:color="auto"/>
            </w:tcBorders>
          </w:tcPr>
          <w:p w14:paraId="754196CA" w14:textId="77777777" w:rsidR="00C1666F" w:rsidRDefault="00C1666F">
            <w:pPr>
              <w:pStyle w:val="paragraph"/>
              <w:spacing w:before="0" w:beforeAutospacing="0" w:after="0" w:afterAutospacing="0" w:line="256" w:lineRule="auto"/>
              <w:textAlignment w:val="baseline"/>
              <w:rPr>
                <w:rStyle w:val="normaltextrun"/>
                <w:rFonts w:ascii="Calibri" w:hAnsi="Calibri" w:cs="Calibri"/>
                <w:sz w:val="22"/>
                <w:szCs w:val="22"/>
              </w:rPr>
            </w:pPr>
            <w:r>
              <w:rPr>
                <w:rStyle w:val="normaltextrun"/>
                <w:rFonts w:ascii="Calibri" w:hAnsi="Calibri" w:cs="Calibri"/>
                <w:b/>
                <w:bCs/>
                <w:kern w:val="2"/>
                <w:sz w:val="22"/>
                <w:szCs w:val="22"/>
                <w:lang w:eastAsia="en-US"/>
                <w14:ligatures w14:val="standardContextual"/>
              </w:rPr>
              <w:lastRenderedPageBreak/>
              <w:t>This is not correct and misleading –</w:t>
            </w:r>
            <w:r>
              <w:rPr>
                <w:rStyle w:val="normaltextrun"/>
                <w:rFonts w:ascii="Calibri" w:hAnsi="Calibri" w:cs="Calibri"/>
                <w:kern w:val="2"/>
                <w:sz w:val="22"/>
                <w:szCs w:val="22"/>
                <w:lang w:eastAsia="en-US"/>
                <w14:ligatures w14:val="standardContextual"/>
              </w:rPr>
              <w:t xml:space="preserve"> the broadcast rights have been consolidated.  Prior to the consolidation, each union sold their Autumn International broadcast rights separately, meaning unions competed against each other and broadcast was spread across different channels, with unaligned kick-off times, reducing value for all unions. </w:t>
            </w:r>
          </w:p>
          <w:p w14:paraId="7042AFCD" w14:textId="77777777" w:rsidR="00C1666F" w:rsidRDefault="00C1666F">
            <w:pPr>
              <w:pStyle w:val="paragraph"/>
              <w:spacing w:before="0" w:beforeAutospacing="0" w:after="0" w:afterAutospacing="0" w:line="256" w:lineRule="auto"/>
              <w:textAlignment w:val="baseline"/>
              <w:rPr>
                <w:rStyle w:val="normaltextrun"/>
                <w:rFonts w:ascii="Calibri" w:hAnsi="Calibri" w:cs="Calibri"/>
                <w:kern w:val="2"/>
                <w:sz w:val="22"/>
                <w:szCs w:val="22"/>
                <w:lang w:eastAsia="en-US"/>
                <w14:ligatures w14:val="standardContextual"/>
              </w:rPr>
            </w:pPr>
          </w:p>
          <w:p w14:paraId="495F4561" w14:textId="77777777" w:rsidR="00C1666F" w:rsidRDefault="00C1666F">
            <w:pPr>
              <w:pStyle w:val="paragraph"/>
              <w:spacing w:before="0" w:beforeAutospacing="0" w:after="0" w:afterAutospacing="0" w:line="256" w:lineRule="auto"/>
              <w:textAlignment w:val="baseline"/>
              <w:rPr>
                <w:rStyle w:val="normaltextrun"/>
                <w:rFonts w:ascii="Calibri" w:hAnsi="Calibri" w:cs="Calibri"/>
                <w:kern w:val="2"/>
                <w:sz w:val="22"/>
                <w:szCs w:val="22"/>
                <w:lang w:eastAsia="en-US"/>
                <w14:ligatures w14:val="standardContextual"/>
              </w:rPr>
            </w:pPr>
            <w:r>
              <w:rPr>
                <w:rStyle w:val="normaltextrun"/>
                <w:rFonts w:ascii="Calibri" w:hAnsi="Calibri" w:cs="Calibri"/>
                <w:kern w:val="2"/>
                <w:sz w:val="22"/>
                <w:szCs w:val="22"/>
                <w:lang w:eastAsia="en-US"/>
                <w14:ligatures w14:val="standardContextual"/>
              </w:rPr>
              <w:t xml:space="preserve">The RFU retains the broadcast rights to the Championship. </w:t>
            </w:r>
          </w:p>
          <w:p w14:paraId="66F58875" w14:textId="77777777" w:rsidR="00C1666F" w:rsidRDefault="00C1666F">
            <w:pPr>
              <w:pStyle w:val="paragraph"/>
              <w:spacing w:before="0" w:beforeAutospacing="0" w:after="0" w:afterAutospacing="0" w:line="256" w:lineRule="auto"/>
              <w:textAlignment w:val="baseline"/>
              <w:rPr>
                <w:rStyle w:val="normaltextrun"/>
                <w:rFonts w:ascii="Calibri" w:hAnsi="Calibri" w:cs="Calibri"/>
                <w:kern w:val="2"/>
                <w:sz w:val="22"/>
                <w:szCs w:val="22"/>
                <w:lang w:eastAsia="en-US"/>
                <w14:ligatures w14:val="standardContextual"/>
              </w:rPr>
            </w:pPr>
          </w:p>
          <w:p w14:paraId="7480D1C2" w14:textId="77777777" w:rsidR="00C1666F" w:rsidRDefault="00C1666F">
            <w:pPr>
              <w:pStyle w:val="paragraph"/>
              <w:spacing w:before="0" w:beforeAutospacing="0" w:after="0" w:afterAutospacing="0" w:line="256" w:lineRule="auto"/>
              <w:textAlignment w:val="baseline"/>
            </w:pPr>
            <w:r>
              <w:rPr>
                <w:rStyle w:val="normaltextrun"/>
                <w:rFonts w:ascii="Calibri" w:hAnsi="Calibri" w:cs="Calibri"/>
                <w:kern w:val="2"/>
                <w:sz w:val="22"/>
                <w:szCs w:val="22"/>
                <w:lang w:eastAsia="en-US"/>
                <w14:ligatures w14:val="standardContextual"/>
              </w:rPr>
              <w:t>Optimised broadcast rights for all competitions will be achieved through collaboration between unions and competitions and leagues, not by operating separately as has been the case in the past. </w:t>
            </w:r>
            <w:r>
              <w:rPr>
                <w:rStyle w:val="eop"/>
                <w:rFonts w:ascii="Calibri" w:hAnsi="Calibri" w:cs="Calibri"/>
                <w:kern w:val="2"/>
                <w:sz w:val="22"/>
                <w:szCs w:val="22"/>
                <w:lang w:eastAsia="en-US"/>
                <w14:ligatures w14:val="standardContextual"/>
              </w:rPr>
              <w:t> </w:t>
            </w:r>
          </w:p>
        </w:tc>
      </w:tr>
    </w:tbl>
    <w:p w14:paraId="011E9979" w14:textId="77777777" w:rsidR="00C1666F" w:rsidRPr="00C746C2" w:rsidRDefault="00C1666F" w:rsidP="00280CF0">
      <w:pPr>
        <w:jc w:val="center"/>
        <w:rPr>
          <w:rFonts w:eastAsiaTheme="minorHAnsi"/>
          <w:lang w:val="en-GB"/>
        </w:rPr>
      </w:pPr>
    </w:p>
    <w:sectPr w:rsidR="00C1666F" w:rsidRPr="00C746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D9CD" w14:textId="77777777" w:rsidR="001C7702" w:rsidRDefault="001C7702" w:rsidP="00B31FD6">
      <w:r>
        <w:separator/>
      </w:r>
    </w:p>
  </w:endnote>
  <w:endnote w:type="continuationSeparator" w:id="0">
    <w:p w14:paraId="6B4FA6AB" w14:textId="77777777" w:rsidR="001C7702" w:rsidRDefault="001C7702" w:rsidP="00B3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E8248" w14:textId="77777777" w:rsidR="001C7702" w:rsidRDefault="001C7702" w:rsidP="00B31FD6">
      <w:r>
        <w:separator/>
      </w:r>
    </w:p>
  </w:footnote>
  <w:footnote w:type="continuationSeparator" w:id="0">
    <w:p w14:paraId="358F46F7" w14:textId="77777777" w:rsidR="001C7702" w:rsidRDefault="001C7702" w:rsidP="00B31F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128"/>
    <w:multiLevelType w:val="hybridMultilevel"/>
    <w:tmpl w:val="5F9A2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712798"/>
    <w:multiLevelType w:val="hybridMultilevel"/>
    <w:tmpl w:val="F4365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8518C9"/>
    <w:multiLevelType w:val="multilevel"/>
    <w:tmpl w:val="04381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5D4746"/>
    <w:multiLevelType w:val="hybridMultilevel"/>
    <w:tmpl w:val="078CEC12"/>
    <w:lvl w:ilvl="0" w:tplc="D014504C">
      <w:start w:val="1"/>
      <w:numFmt w:val="upperLetter"/>
      <w:lvlText w:val="(%1)"/>
      <w:lvlJc w:val="left"/>
      <w:pPr>
        <w:ind w:left="2055" w:hanging="390"/>
      </w:pPr>
      <w:rPr>
        <w:rFonts w:hint="default"/>
      </w:rPr>
    </w:lvl>
    <w:lvl w:ilvl="1" w:tplc="08090019" w:tentative="1">
      <w:start w:val="1"/>
      <w:numFmt w:val="lowerLetter"/>
      <w:lvlText w:val="%2."/>
      <w:lvlJc w:val="left"/>
      <w:pPr>
        <w:ind w:left="2745" w:hanging="360"/>
      </w:pPr>
    </w:lvl>
    <w:lvl w:ilvl="2" w:tplc="0809001B" w:tentative="1">
      <w:start w:val="1"/>
      <w:numFmt w:val="lowerRoman"/>
      <w:lvlText w:val="%3."/>
      <w:lvlJc w:val="right"/>
      <w:pPr>
        <w:ind w:left="3465" w:hanging="180"/>
      </w:pPr>
    </w:lvl>
    <w:lvl w:ilvl="3" w:tplc="0809000F" w:tentative="1">
      <w:start w:val="1"/>
      <w:numFmt w:val="decimal"/>
      <w:lvlText w:val="%4."/>
      <w:lvlJc w:val="left"/>
      <w:pPr>
        <w:ind w:left="4185" w:hanging="360"/>
      </w:pPr>
    </w:lvl>
    <w:lvl w:ilvl="4" w:tplc="08090019" w:tentative="1">
      <w:start w:val="1"/>
      <w:numFmt w:val="lowerLetter"/>
      <w:lvlText w:val="%5."/>
      <w:lvlJc w:val="left"/>
      <w:pPr>
        <w:ind w:left="4905" w:hanging="360"/>
      </w:pPr>
    </w:lvl>
    <w:lvl w:ilvl="5" w:tplc="0809001B" w:tentative="1">
      <w:start w:val="1"/>
      <w:numFmt w:val="lowerRoman"/>
      <w:lvlText w:val="%6."/>
      <w:lvlJc w:val="right"/>
      <w:pPr>
        <w:ind w:left="5625" w:hanging="180"/>
      </w:pPr>
    </w:lvl>
    <w:lvl w:ilvl="6" w:tplc="0809000F" w:tentative="1">
      <w:start w:val="1"/>
      <w:numFmt w:val="decimal"/>
      <w:lvlText w:val="%7."/>
      <w:lvlJc w:val="left"/>
      <w:pPr>
        <w:ind w:left="6345" w:hanging="360"/>
      </w:pPr>
    </w:lvl>
    <w:lvl w:ilvl="7" w:tplc="08090019" w:tentative="1">
      <w:start w:val="1"/>
      <w:numFmt w:val="lowerLetter"/>
      <w:lvlText w:val="%8."/>
      <w:lvlJc w:val="left"/>
      <w:pPr>
        <w:ind w:left="7065" w:hanging="360"/>
      </w:pPr>
    </w:lvl>
    <w:lvl w:ilvl="8" w:tplc="0809001B" w:tentative="1">
      <w:start w:val="1"/>
      <w:numFmt w:val="lowerRoman"/>
      <w:lvlText w:val="%9."/>
      <w:lvlJc w:val="right"/>
      <w:pPr>
        <w:ind w:left="7785" w:hanging="180"/>
      </w:pPr>
    </w:lvl>
  </w:abstractNum>
  <w:abstractNum w:abstractNumId="4" w15:restartNumberingAfterBreak="0">
    <w:nsid w:val="21974CB1"/>
    <w:multiLevelType w:val="hybridMultilevel"/>
    <w:tmpl w:val="348C2CCE"/>
    <w:lvl w:ilvl="0" w:tplc="4EFEBB2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9A1AED"/>
    <w:multiLevelType w:val="hybridMultilevel"/>
    <w:tmpl w:val="F3C20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602C1F"/>
    <w:multiLevelType w:val="hybridMultilevel"/>
    <w:tmpl w:val="C582AA1C"/>
    <w:lvl w:ilvl="0" w:tplc="6A06E9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6A6BCE"/>
    <w:multiLevelType w:val="hybridMultilevel"/>
    <w:tmpl w:val="A1D87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BA56A5"/>
    <w:multiLevelType w:val="hybridMultilevel"/>
    <w:tmpl w:val="F3C20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140F6E"/>
    <w:multiLevelType w:val="hybridMultilevel"/>
    <w:tmpl w:val="00180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434B82"/>
    <w:multiLevelType w:val="multilevel"/>
    <w:tmpl w:val="171A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A61A13"/>
    <w:multiLevelType w:val="multilevel"/>
    <w:tmpl w:val="95F8D76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64570270">
    <w:abstractNumId w:val="7"/>
  </w:num>
  <w:num w:numId="2" w16cid:durableId="1467120465">
    <w:abstractNumId w:val="5"/>
  </w:num>
  <w:num w:numId="3" w16cid:durableId="1330056700">
    <w:abstractNumId w:val="8"/>
  </w:num>
  <w:num w:numId="4" w16cid:durableId="1235121392">
    <w:abstractNumId w:val="11"/>
  </w:num>
  <w:num w:numId="5" w16cid:durableId="2078549962">
    <w:abstractNumId w:val="3"/>
  </w:num>
  <w:num w:numId="6" w16cid:durableId="1701668326">
    <w:abstractNumId w:val="4"/>
  </w:num>
  <w:num w:numId="7" w16cid:durableId="136804007">
    <w:abstractNumId w:val="10"/>
  </w:num>
  <w:num w:numId="8" w16cid:durableId="1856266362">
    <w:abstractNumId w:val="2"/>
  </w:num>
  <w:num w:numId="9" w16cid:durableId="888031311">
    <w:abstractNumId w:val="6"/>
  </w:num>
  <w:num w:numId="10" w16cid:durableId="749160271">
    <w:abstractNumId w:val="1"/>
  </w:num>
  <w:num w:numId="11" w16cid:durableId="1058283177">
    <w:abstractNumId w:val="9"/>
  </w:num>
  <w:num w:numId="12" w16cid:durableId="159397814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E7"/>
    <w:rsid w:val="00095E71"/>
    <w:rsid w:val="000A190D"/>
    <w:rsid w:val="000A6D2A"/>
    <w:rsid w:val="000C58AA"/>
    <w:rsid w:val="000D19DE"/>
    <w:rsid w:val="000D28F3"/>
    <w:rsid w:val="000D788D"/>
    <w:rsid w:val="000F4C76"/>
    <w:rsid w:val="001A507F"/>
    <w:rsid w:val="001A7E3B"/>
    <w:rsid w:val="001C7702"/>
    <w:rsid w:val="001D7AEF"/>
    <w:rsid w:val="002117BE"/>
    <w:rsid w:val="002536F9"/>
    <w:rsid w:val="00262A02"/>
    <w:rsid w:val="00280CF0"/>
    <w:rsid w:val="002B0536"/>
    <w:rsid w:val="002C4E8F"/>
    <w:rsid w:val="002E1A60"/>
    <w:rsid w:val="002E5C01"/>
    <w:rsid w:val="00321CDE"/>
    <w:rsid w:val="00331974"/>
    <w:rsid w:val="00362D56"/>
    <w:rsid w:val="00376187"/>
    <w:rsid w:val="00380BE1"/>
    <w:rsid w:val="004279BE"/>
    <w:rsid w:val="004429E6"/>
    <w:rsid w:val="0046256A"/>
    <w:rsid w:val="004C77BD"/>
    <w:rsid w:val="00502701"/>
    <w:rsid w:val="00515A7B"/>
    <w:rsid w:val="00555638"/>
    <w:rsid w:val="00561201"/>
    <w:rsid w:val="00586DD6"/>
    <w:rsid w:val="005B0308"/>
    <w:rsid w:val="005D0EAB"/>
    <w:rsid w:val="005E1297"/>
    <w:rsid w:val="0061094C"/>
    <w:rsid w:val="006142A7"/>
    <w:rsid w:val="006212EB"/>
    <w:rsid w:val="0064018A"/>
    <w:rsid w:val="00645598"/>
    <w:rsid w:val="00655095"/>
    <w:rsid w:val="006552B9"/>
    <w:rsid w:val="00682CA6"/>
    <w:rsid w:val="006942A9"/>
    <w:rsid w:val="00697FFD"/>
    <w:rsid w:val="006D0A48"/>
    <w:rsid w:val="00793D2E"/>
    <w:rsid w:val="00797C88"/>
    <w:rsid w:val="007D7F47"/>
    <w:rsid w:val="00850D94"/>
    <w:rsid w:val="00866D6F"/>
    <w:rsid w:val="00882E68"/>
    <w:rsid w:val="008923F6"/>
    <w:rsid w:val="008C164A"/>
    <w:rsid w:val="008E552E"/>
    <w:rsid w:val="00967392"/>
    <w:rsid w:val="00973315"/>
    <w:rsid w:val="00981F07"/>
    <w:rsid w:val="009A458D"/>
    <w:rsid w:val="009F519B"/>
    <w:rsid w:val="00A16196"/>
    <w:rsid w:val="00A301E7"/>
    <w:rsid w:val="00A33080"/>
    <w:rsid w:val="00A342DC"/>
    <w:rsid w:val="00A92856"/>
    <w:rsid w:val="00AF465C"/>
    <w:rsid w:val="00B31FD6"/>
    <w:rsid w:val="00B35953"/>
    <w:rsid w:val="00B40FCA"/>
    <w:rsid w:val="00BA7DEB"/>
    <w:rsid w:val="00BB3190"/>
    <w:rsid w:val="00BC094D"/>
    <w:rsid w:val="00BF49DE"/>
    <w:rsid w:val="00BF5EE9"/>
    <w:rsid w:val="00C13690"/>
    <w:rsid w:val="00C1666F"/>
    <w:rsid w:val="00C179F6"/>
    <w:rsid w:val="00C467EF"/>
    <w:rsid w:val="00C54E8D"/>
    <w:rsid w:val="00C746C2"/>
    <w:rsid w:val="00C81540"/>
    <w:rsid w:val="00CC66A1"/>
    <w:rsid w:val="00CE0AE5"/>
    <w:rsid w:val="00CE17AE"/>
    <w:rsid w:val="00D606C2"/>
    <w:rsid w:val="00D76BBE"/>
    <w:rsid w:val="00D879F3"/>
    <w:rsid w:val="00DC5092"/>
    <w:rsid w:val="00E0041D"/>
    <w:rsid w:val="00E23040"/>
    <w:rsid w:val="00E24F20"/>
    <w:rsid w:val="00E3436B"/>
    <w:rsid w:val="00E4640B"/>
    <w:rsid w:val="00E501A4"/>
    <w:rsid w:val="00E74DBD"/>
    <w:rsid w:val="00E84F8A"/>
    <w:rsid w:val="00E86FE8"/>
    <w:rsid w:val="00EA439F"/>
    <w:rsid w:val="00EE31CC"/>
    <w:rsid w:val="00EF70E8"/>
    <w:rsid w:val="00F26221"/>
    <w:rsid w:val="00F26F73"/>
    <w:rsid w:val="00F33DCB"/>
    <w:rsid w:val="00F75ECD"/>
    <w:rsid w:val="00FB5371"/>
    <w:rsid w:val="00FD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3D94A"/>
  <w15:docId w15:val="{20A9FB67-C76A-4DCF-8366-307ADBD1D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A60"/>
    <w:pPr>
      <w:autoSpaceDE w:val="0"/>
      <w:autoSpaceDN w:val="0"/>
      <w:spacing w:after="0" w:line="240" w:lineRule="auto"/>
    </w:pPr>
    <w:rPr>
      <w:rFonts w:ascii="Arial" w:eastAsia="Times New Roman" w:hAnsi="Arial" w:cs="Arial"/>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F47"/>
    <w:pPr>
      <w:ind w:left="720"/>
      <w:contextualSpacing/>
    </w:pPr>
  </w:style>
  <w:style w:type="paragraph" w:styleId="Header">
    <w:name w:val="header"/>
    <w:basedOn w:val="Normal"/>
    <w:link w:val="HeaderChar"/>
    <w:uiPriority w:val="99"/>
    <w:unhideWhenUsed/>
    <w:rsid w:val="00B31FD6"/>
    <w:pPr>
      <w:tabs>
        <w:tab w:val="center" w:pos="4513"/>
        <w:tab w:val="right" w:pos="9026"/>
      </w:tabs>
    </w:pPr>
  </w:style>
  <w:style w:type="character" w:customStyle="1" w:styleId="HeaderChar">
    <w:name w:val="Header Char"/>
    <w:basedOn w:val="DefaultParagraphFont"/>
    <w:link w:val="Header"/>
    <w:uiPriority w:val="99"/>
    <w:rsid w:val="00B31FD6"/>
    <w:rPr>
      <w:rFonts w:ascii="Arial" w:eastAsia="Times New Roman" w:hAnsi="Arial" w:cs="Arial"/>
      <w:sz w:val="20"/>
      <w:szCs w:val="20"/>
      <w:lang w:val="en-US" w:eastAsia="en-GB"/>
    </w:rPr>
  </w:style>
  <w:style w:type="paragraph" w:styleId="Footer">
    <w:name w:val="footer"/>
    <w:basedOn w:val="Normal"/>
    <w:link w:val="FooterChar"/>
    <w:uiPriority w:val="99"/>
    <w:unhideWhenUsed/>
    <w:rsid w:val="00B31FD6"/>
    <w:pPr>
      <w:tabs>
        <w:tab w:val="center" w:pos="4513"/>
        <w:tab w:val="right" w:pos="9026"/>
      </w:tabs>
    </w:pPr>
  </w:style>
  <w:style w:type="character" w:customStyle="1" w:styleId="FooterChar">
    <w:name w:val="Footer Char"/>
    <w:basedOn w:val="DefaultParagraphFont"/>
    <w:link w:val="Footer"/>
    <w:uiPriority w:val="99"/>
    <w:rsid w:val="00B31FD6"/>
    <w:rPr>
      <w:rFonts w:ascii="Arial" w:eastAsia="Times New Roman" w:hAnsi="Arial" w:cs="Arial"/>
      <w:sz w:val="20"/>
      <w:szCs w:val="20"/>
      <w:lang w:val="en-US" w:eastAsia="en-GB"/>
    </w:rPr>
  </w:style>
  <w:style w:type="paragraph" w:styleId="BalloonText">
    <w:name w:val="Balloon Text"/>
    <w:basedOn w:val="Normal"/>
    <w:link w:val="BalloonTextChar"/>
    <w:uiPriority w:val="99"/>
    <w:semiHidden/>
    <w:unhideWhenUsed/>
    <w:rsid w:val="00697F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FFD"/>
    <w:rPr>
      <w:rFonts w:ascii="Segoe UI" w:eastAsia="Times New Roman" w:hAnsi="Segoe UI" w:cs="Segoe UI"/>
      <w:sz w:val="18"/>
      <w:szCs w:val="18"/>
      <w:lang w:val="en-US" w:eastAsia="en-GB"/>
    </w:rPr>
  </w:style>
  <w:style w:type="paragraph" w:customStyle="1" w:styleId="paragraph">
    <w:name w:val="paragraph"/>
    <w:basedOn w:val="Normal"/>
    <w:rsid w:val="00C1666F"/>
    <w:pPr>
      <w:autoSpaceDE/>
      <w:autoSpaceDN/>
      <w:spacing w:before="100" w:beforeAutospacing="1" w:after="100" w:afterAutospacing="1"/>
    </w:pPr>
    <w:rPr>
      <w:rFonts w:ascii="Times New Roman" w:hAnsi="Times New Roman" w:cs="Times New Roman"/>
      <w:sz w:val="24"/>
      <w:szCs w:val="24"/>
      <w:lang w:val="en-GB"/>
    </w:rPr>
  </w:style>
  <w:style w:type="character" w:customStyle="1" w:styleId="normaltextrun">
    <w:name w:val="normaltextrun"/>
    <w:basedOn w:val="DefaultParagraphFont"/>
    <w:rsid w:val="00C1666F"/>
  </w:style>
  <w:style w:type="character" w:customStyle="1" w:styleId="eop">
    <w:name w:val="eop"/>
    <w:basedOn w:val="DefaultParagraphFont"/>
    <w:rsid w:val="00C16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58425">
      <w:bodyDiv w:val="1"/>
      <w:marLeft w:val="210"/>
      <w:marRight w:val="210"/>
      <w:marTop w:val="0"/>
      <w:marBottom w:val="0"/>
      <w:divBdr>
        <w:top w:val="none" w:sz="0" w:space="0" w:color="auto"/>
        <w:left w:val="none" w:sz="0" w:space="0" w:color="auto"/>
        <w:bottom w:val="none" w:sz="0" w:space="0" w:color="auto"/>
        <w:right w:val="none" w:sz="0" w:space="0" w:color="auto"/>
      </w:divBdr>
      <w:divsChild>
        <w:div w:id="572933715">
          <w:marLeft w:val="0"/>
          <w:marRight w:val="0"/>
          <w:marTop w:val="120"/>
          <w:marBottom w:val="120"/>
          <w:divBdr>
            <w:top w:val="none" w:sz="0" w:space="0" w:color="auto"/>
            <w:left w:val="none" w:sz="0" w:space="0" w:color="auto"/>
            <w:bottom w:val="none" w:sz="0" w:space="0" w:color="auto"/>
            <w:right w:val="none" w:sz="0" w:space="0" w:color="auto"/>
          </w:divBdr>
          <w:divsChild>
            <w:div w:id="412090509">
              <w:marLeft w:val="0"/>
              <w:marRight w:val="0"/>
              <w:marTop w:val="0"/>
              <w:marBottom w:val="0"/>
              <w:divBdr>
                <w:top w:val="none" w:sz="0" w:space="0" w:color="auto"/>
                <w:left w:val="none" w:sz="0" w:space="0" w:color="auto"/>
                <w:bottom w:val="none" w:sz="0" w:space="0" w:color="auto"/>
                <w:right w:val="none" w:sz="0" w:space="0" w:color="auto"/>
              </w:divBdr>
              <w:divsChild>
                <w:div w:id="255525909">
                  <w:marLeft w:val="0"/>
                  <w:marRight w:val="0"/>
                  <w:marTop w:val="0"/>
                  <w:marBottom w:val="0"/>
                  <w:divBdr>
                    <w:top w:val="none" w:sz="0" w:space="0" w:color="auto"/>
                    <w:left w:val="none" w:sz="0" w:space="0" w:color="auto"/>
                    <w:bottom w:val="none" w:sz="0" w:space="0" w:color="auto"/>
                    <w:right w:val="none" w:sz="0" w:space="0" w:color="auto"/>
                  </w:divBdr>
                  <w:divsChild>
                    <w:div w:id="216749412">
                      <w:marLeft w:val="0"/>
                      <w:marRight w:val="0"/>
                      <w:marTop w:val="0"/>
                      <w:marBottom w:val="0"/>
                      <w:divBdr>
                        <w:top w:val="none" w:sz="0" w:space="0" w:color="auto"/>
                        <w:left w:val="none" w:sz="0" w:space="0" w:color="auto"/>
                        <w:bottom w:val="none" w:sz="0" w:space="0" w:color="auto"/>
                        <w:right w:val="none" w:sz="0" w:space="0" w:color="auto"/>
                      </w:divBdr>
                    </w:div>
                    <w:div w:id="21053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635412">
      <w:bodyDiv w:val="1"/>
      <w:marLeft w:val="0"/>
      <w:marRight w:val="0"/>
      <w:marTop w:val="0"/>
      <w:marBottom w:val="0"/>
      <w:divBdr>
        <w:top w:val="none" w:sz="0" w:space="0" w:color="auto"/>
        <w:left w:val="none" w:sz="0" w:space="0" w:color="auto"/>
        <w:bottom w:val="none" w:sz="0" w:space="0" w:color="auto"/>
        <w:right w:val="none" w:sz="0" w:space="0" w:color="auto"/>
      </w:divBdr>
      <w:divsChild>
        <w:div w:id="1592352781">
          <w:marLeft w:val="0"/>
          <w:marRight w:val="0"/>
          <w:marTop w:val="0"/>
          <w:marBottom w:val="0"/>
          <w:divBdr>
            <w:top w:val="none" w:sz="0" w:space="0" w:color="auto"/>
            <w:left w:val="none" w:sz="0" w:space="0" w:color="auto"/>
            <w:bottom w:val="none" w:sz="0" w:space="0" w:color="auto"/>
            <w:right w:val="none" w:sz="0" w:space="0" w:color="auto"/>
          </w:divBdr>
        </w:div>
        <w:div w:id="127481735">
          <w:marLeft w:val="0"/>
          <w:marRight w:val="0"/>
          <w:marTop w:val="0"/>
          <w:marBottom w:val="0"/>
          <w:divBdr>
            <w:top w:val="none" w:sz="0" w:space="0" w:color="auto"/>
            <w:left w:val="none" w:sz="0" w:space="0" w:color="auto"/>
            <w:bottom w:val="none" w:sz="0" w:space="0" w:color="auto"/>
            <w:right w:val="none" w:sz="0" w:space="0" w:color="auto"/>
          </w:divBdr>
        </w:div>
        <w:div w:id="1404180466">
          <w:marLeft w:val="0"/>
          <w:marRight w:val="0"/>
          <w:marTop w:val="0"/>
          <w:marBottom w:val="0"/>
          <w:divBdr>
            <w:top w:val="none" w:sz="0" w:space="0" w:color="auto"/>
            <w:left w:val="none" w:sz="0" w:space="0" w:color="auto"/>
            <w:bottom w:val="none" w:sz="0" w:space="0" w:color="auto"/>
            <w:right w:val="none" w:sz="0" w:space="0" w:color="auto"/>
          </w:divBdr>
        </w:div>
        <w:div w:id="41099193">
          <w:marLeft w:val="0"/>
          <w:marRight w:val="0"/>
          <w:marTop w:val="0"/>
          <w:marBottom w:val="0"/>
          <w:divBdr>
            <w:top w:val="none" w:sz="0" w:space="0" w:color="auto"/>
            <w:left w:val="none" w:sz="0" w:space="0" w:color="auto"/>
            <w:bottom w:val="none" w:sz="0" w:space="0" w:color="auto"/>
            <w:right w:val="none" w:sz="0" w:space="0" w:color="auto"/>
          </w:divBdr>
          <w:divsChild>
            <w:div w:id="727921174">
              <w:marLeft w:val="0"/>
              <w:marRight w:val="0"/>
              <w:marTop w:val="0"/>
              <w:marBottom w:val="0"/>
              <w:divBdr>
                <w:top w:val="none" w:sz="0" w:space="0" w:color="auto"/>
                <w:left w:val="none" w:sz="0" w:space="0" w:color="auto"/>
                <w:bottom w:val="none" w:sz="0" w:space="0" w:color="auto"/>
                <w:right w:val="none" w:sz="0" w:space="0" w:color="auto"/>
              </w:divBdr>
            </w:div>
          </w:divsChild>
        </w:div>
        <w:div w:id="872153300">
          <w:marLeft w:val="0"/>
          <w:marRight w:val="0"/>
          <w:marTop w:val="0"/>
          <w:marBottom w:val="0"/>
          <w:divBdr>
            <w:top w:val="none" w:sz="0" w:space="0" w:color="auto"/>
            <w:left w:val="none" w:sz="0" w:space="0" w:color="auto"/>
            <w:bottom w:val="none" w:sz="0" w:space="0" w:color="auto"/>
            <w:right w:val="none" w:sz="0" w:space="0" w:color="auto"/>
          </w:divBdr>
          <w:divsChild>
            <w:div w:id="477848100">
              <w:marLeft w:val="0"/>
              <w:marRight w:val="0"/>
              <w:marTop w:val="0"/>
              <w:marBottom w:val="0"/>
              <w:divBdr>
                <w:top w:val="none" w:sz="0" w:space="0" w:color="auto"/>
                <w:left w:val="none" w:sz="0" w:space="0" w:color="auto"/>
                <w:bottom w:val="none" w:sz="0" w:space="0" w:color="auto"/>
                <w:right w:val="none" w:sz="0" w:space="0" w:color="auto"/>
              </w:divBdr>
            </w:div>
          </w:divsChild>
        </w:div>
        <w:div w:id="882332176">
          <w:marLeft w:val="0"/>
          <w:marRight w:val="0"/>
          <w:marTop w:val="0"/>
          <w:marBottom w:val="0"/>
          <w:divBdr>
            <w:top w:val="none" w:sz="0" w:space="0" w:color="auto"/>
            <w:left w:val="none" w:sz="0" w:space="0" w:color="auto"/>
            <w:bottom w:val="none" w:sz="0" w:space="0" w:color="auto"/>
            <w:right w:val="none" w:sz="0" w:space="0" w:color="auto"/>
          </w:divBdr>
          <w:divsChild>
            <w:div w:id="1305886342">
              <w:marLeft w:val="0"/>
              <w:marRight w:val="0"/>
              <w:marTop w:val="0"/>
              <w:marBottom w:val="0"/>
              <w:divBdr>
                <w:top w:val="none" w:sz="0" w:space="0" w:color="auto"/>
                <w:left w:val="none" w:sz="0" w:space="0" w:color="auto"/>
                <w:bottom w:val="none" w:sz="0" w:space="0" w:color="auto"/>
                <w:right w:val="none" w:sz="0" w:space="0" w:color="auto"/>
              </w:divBdr>
            </w:div>
          </w:divsChild>
        </w:div>
        <w:div w:id="2119520172">
          <w:marLeft w:val="0"/>
          <w:marRight w:val="0"/>
          <w:marTop w:val="0"/>
          <w:marBottom w:val="0"/>
          <w:divBdr>
            <w:top w:val="none" w:sz="0" w:space="0" w:color="auto"/>
            <w:left w:val="none" w:sz="0" w:space="0" w:color="auto"/>
            <w:bottom w:val="none" w:sz="0" w:space="0" w:color="auto"/>
            <w:right w:val="none" w:sz="0" w:space="0" w:color="auto"/>
          </w:divBdr>
          <w:divsChild>
            <w:div w:id="1398748721">
              <w:marLeft w:val="0"/>
              <w:marRight w:val="0"/>
              <w:marTop w:val="0"/>
              <w:marBottom w:val="0"/>
              <w:divBdr>
                <w:top w:val="none" w:sz="0" w:space="0" w:color="auto"/>
                <w:left w:val="none" w:sz="0" w:space="0" w:color="auto"/>
                <w:bottom w:val="none" w:sz="0" w:space="0" w:color="auto"/>
                <w:right w:val="none" w:sz="0" w:space="0" w:color="auto"/>
              </w:divBdr>
            </w:div>
          </w:divsChild>
        </w:div>
        <w:div w:id="226457160">
          <w:marLeft w:val="0"/>
          <w:marRight w:val="0"/>
          <w:marTop w:val="0"/>
          <w:marBottom w:val="0"/>
          <w:divBdr>
            <w:top w:val="none" w:sz="0" w:space="0" w:color="auto"/>
            <w:left w:val="none" w:sz="0" w:space="0" w:color="auto"/>
            <w:bottom w:val="none" w:sz="0" w:space="0" w:color="auto"/>
            <w:right w:val="none" w:sz="0" w:space="0" w:color="auto"/>
          </w:divBdr>
          <w:divsChild>
            <w:div w:id="147407213">
              <w:marLeft w:val="0"/>
              <w:marRight w:val="0"/>
              <w:marTop w:val="0"/>
              <w:marBottom w:val="0"/>
              <w:divBdr>
                <w:top w:val="none" w:sz="0" w:space="0" w:color="auto"/>
                <w:left w:val="none" w:sz="0" w:space="0" w:color="auto"/>
                <w:bottom w:val="none" w:sz="0" w:space="0" w:color="auto"/>
                <w:right w:val="none" w:sz="0" w:space="0" w:color="auto"/>
              </w:divBdr>
            </w:div>
          </w:divsChild>
        </w:div>
        <w:div w:id="1450976910">
          <w:marLeft w:val="0"/>
          <w:marRight w:val="0"/>
          <w:marTop w:val="0"/>
          <w:marBottom w:val="0"/>
          <w:divBdr>
            <w:top w:val="none" w:sz="0" w:space="0" w:color="auto"/>
            <w:left w:val="none" w:sz="0" w:space="0" w:color="auto"/>
            <w:bottom w:val="none" w:sz="0" w:space="0" w:color="auto"/>
            <w:right w:val="none" w:sz="0" w:space="0" w:color="auto"/>
          </w:divBdr>
        </w:div>
        <w:div w:id="678392400">
          <w:marLeft w:val="0"/>
          <w:marRight w:val="0"/>
          <w:marTop w:val="0"/>
          <w:marBottom w:val="0"/>
          <w:divBdr>
            <w:top w:val="none" w:sz="0" w:space="0" w:color="auto"/>
            <w:left w:val="none" w:sz="0" w:space="0" w:color="auto"/>
            <w:bottom w:val="none" w:sz="0" w:space="0" w:color="auto"/>
            <w:right w:val="none" w:sz="0" w:space="0" w:color="auto"/>
          </w:divBdr>
        </w:div>
        <w:div w:id="1971088349">
          <w:marLeft w:val="0"/>
          <w:marRight w:val="0"/>
          <w:marTop w:val="0"/>
          <w:marBottom w:val="0"/>
          <w:divBdr>
            <w:top w:val="none" w:sz="0" w:space="0" w:color="auto"/>
            <w:left w:val="none" w:sz="0" w:space="0" w:color="auto"/>
            <w:bottom w:val="none" w:sz="0" w:space="0" w:color="auto"/>
            <w:right w:val="none" w:sz="0" w:space="0" w:color="auto"/>
          </w:divBdr>
        </w:div>
      </w:divsChild>
    </w:div>
    <w:div w:id="678851453">
      <w:bodyDiv w:val="1"/>
      <w:marLeft w:val="0"/>
      <w:marRight w:val="0"/>
      <w:marTop w:val="0"/>
      <w:marBottom w:val="0"/>
      <w:divBdr>
        <w:top w:val="none" w:sz="0" w:space="0" w:color="auto"/>
        <w:left w:val="none" w:sz="0" w:space="0" w:color="auto"/>
        <w:bottom w:val="none" w:sz="0" w:space="0" w:color="auto"/>
        <w:right w:val="none" w:sz="0" w:space="0" w:color="auto"/>
      </w:divBdr>
    </w:div>
    <w:div w:id="793329128">
      <w:bodyDiv w:val="1"/>
      <w:marLeft w:val="0"/>
      <w:marRight w:val="0"/>
      <w:marTop w:val="0"/>
      <w:marBottom w:val="0"/>
      <w:divBdr>
        <w:top w:val="none" w:sz="0" w:space="0" w:color="auto"/>
        <w:left w:val="none" w:sz="0" w:space="0" w:color="auto"/>
        <w:bottom w:val="none" w:sz="0" w:space="0" w:color="auto"/>
        <w:right w:val="none" w:sz="0" w:space="0" w:color="auto"/>
      </w:divBdr>
      <w:divsChild>
        <w:div w:id="1263102760">
          <w:marLeft w:val="0"/>
          <w:marRight w:val="0"/>
          <w:marTop w:val="0"/>
          <w:marBottom w:val="0"/>
          <w:divBdr>
            <w:top w:val="none" w:sz="0" w:space="0" w:color="auto"/>
            <w:left w:val="none" w:sz="0" w:space="0" w:color="auto"/>
            <w:bottom w:val="none" w:sz="0" w:space="0" w:color="auto"/>
            <w:right w:val="none" w:sz="0" w:space="0" w:color="auto"/>
          </w:divBdr>
        </w:div>
        <w:div w:id="1925072360">
          <w:marLeft w:val="0"/>
          <w:marRight w:val="0"/>
          <w:marTop w:val="0"/>
          <w:marBottom w:val="0"/>
          <w:divBdr>
            <w:top w:val="none" w:sz="0" w:space="0" w:color="auto"/>
            <w:left w:val="none" w:sz="0" w:space="0" w:color="auto"/>
            <w:bottom w:val="none" w:sz="0" w:space="0" w:color="auto"/>
            <w:right w:val="none" w:sz="0" w:space="0" w:color="auto"/>
          </w:divBdr>
        </w:div>
        <w:div w:id="1639452431">
          <w:marLeft w:val="0"/>
          <w:marRight w:val="0"/>
          <w:marTop w:val="0"/>
          <w:marBottom w:val="0"/>
          <w:divBdr>
            <w:top w:val="none" w:sz="0" w:space="0" w:color="auto"/>
            <w:left w:val="none" w:sz="0" w:space="0" w:color="auto"/>
            <w:bottom w:val="none" w:sz="0" w:space="0" w:color="auto"/>
            <w:right w:val="none" w:sz="0" w:space="0" w:color="auto"/>
          </w:divBdr>
        </w:div>
        <w:div w:id="936206276">
          <w:marLeft w:val="0"/>
          <w:marRight w:val="0"/>
          <w:marTop w:val="0"/>
          <w:marBottom w:val="0"/>
          <w:divBdr>
            <w:top w:val="none" w:sz="0" w:space="0" w:color="auto"/>
            <w:left w:val="none" w:sz="0" w:space="0" w:color="auto"/>
            <w:bottom w:val="none" w:sz="0" w:space="0" w:color="auto"/>
            <w:right w:val="none" w:sz="0" w:space="0" w:color="auto"/>
          </w:divBdr>
        </w:div>
        <w:div w:id="2095593093">
          <w:marLeft w:val="0"/>
          <w:marRight w:val="0"/>
          <w:marTop w:val="0"/>
          <w:marBottom w:val="0"/>
          <w:divBdr>
            <w:top w:val="none" w:sz="0" w:space="0" w:color="auto"/>
            <w:left w:val="none" w:sz="0" w:space="0" w:color="auto"/>
            <w:bottom w:val="none" w:sz="0" w:space="0" w:color="auto"/>
            <w:right w:val="none" w:sz="0" w:space="0" w:color="auto"/>
          </w:divBdr>
        </w:div>
        <w:div w:id="559901100">
          <w:marLeft w:val="0"/>
          <w:marRight w:val="0"/>
          <w:marTop w:val="0"/>
          <w:marBottom w:val="0"/>
          <w:divBdr>
            <w:top w:val="none" w:sz="0" w:space="0" w:color="auto"/>
            <w:left w:val="none" w:sz="0" w:space="0" w:color="auto"/>
            <w:bottom w:val="none" w:sz="0" w:space="0" w:color="auto"/>
            <w:right w:val="none" w:sz="0" w:space="0" w:color="auto"/>
          </w:divBdr>
        </w:div>
        <w:div w:id="473834518">
          <w:marLeft w:val="0"/>
          <w:marRight w:val="0"/>
          <w:marTop w:val="0"/>
          <w:marBottom w:val="0"/>
          <w:divBdr>
            <w:top w:val="none" w:sz="0" w:space="0" w:color="auto"/>
            <w:left w:val="none" w:sz="0" w:space="0" w:color="auto"/>
            <w:bottom w:val="none" w:sz="0" w:space="0" w:color="auto"/>
            <w:right w:val="none" w:sz="0" w:space="0" w:color="auto"/>
          </w:divBdr>
        </w:div>
        <w:div w:id="1854493852">
          <w:marLeft w:val="0"/>
          <w:marRight w:val="0"/>
          <w:marTop w:val="0"/>
          <w:marBottom w:val="0"/>
          <w:divBdr>
            <w:top w:val="none" w:sz="0" w:space="0" w:color="auto"/>
            <w:left w:val="none" w:sz="0" w:space="0" w:color="auto"/>
            <w:bottom w:val="none" w:sz="0" w:space="0" w:color="auto"/>
            <w:right w:val="none" w:sz="0" w:space="0" w:color="auto"/>
          </w:divBdr>
        </w:div>
        <w:div w:id="355690441">
          <w:marLeft w:val="0"/>
          <w:marRight w:val="0"/>
          <w:marTop w:val="0"/>
          <w:marBottom w:val="0"/>
          <w:divBdr>
            <w:top w:val="none" w:sz="0" w:space="0" w:color="auto"/>
            <w:left w:val="none" w:sz="0" w:space="0" w:color="auto"/>
            <w:bottom w:val="none" w:sz="0" w:space="0" w:color="auto"/>
            <w:right w:val="none" w:sz="0" w:space="0" w:color="auto"/>
          </w:divBdr>
        </w:div>
      </w:divsChild>
    </w:div>
    <w:div w:id="814906558">
      <w:bodyDiv w:val="1"/>
      <w:marLeft w:val="0"/>
      <w:marRight w:val="0"/>
      <w:marTop w:val="0"/>
      <w:marBottom w:val="0"/>
      <w:divBdr>
        <w:top w:val="none" w:sz="0" w:space="0" w:color="auto"/>
        <w:left w:val="none" w:sz="0" w:space="0" w:color="auto"/>
        <w:bottom w:val="none" w:sz="0" w:space="0" w:color="auto"/>
        <w:right w:val="none" w:sz="0" w:space="0" w:color="auto"/>
      </w:divBdr>
      <w:divsChild>
        <w:div w:id="1248610653">
          <w:marLeft w:val="0"/>
          <w:marRight w:val="0"/>
          <w:marTop w:val="0"/>
          <w:marBottom w:val="0"/>
          <w:divBdr>
            <w:top w:val="none" w:sz="0" w:space="0" w:color="auto"/>
            <w:left w:val="none" w:sz="0" w:space="0" w:color="auto"/>
            <w:bottom w:val="none" w:sz="0" w:space="0" w:color="auto"/>
            <w:right w:val="none" w:sz="0" w:space="0" w:color="auto"/>
          </w:divBdr>
        </w:div>
        <w:div w:id="125660450">
          <w:marLeft w:val="0"/>
          <w:marRight w:val="0"/>
          <w:marTop w:val="0"/>
          <w:marBottom w:val="0"/>
          <w:divBdr>
            <w:top w:val="none" w:sz="0" w:space="0" w:color="auto"/>
            <w:left w:val="none" w:sz="0" w:space="0" w:color="auto"/>
            <w:bottom w:val="none" w:sz="0" w:space="0" w:color="auto"/>
            <w:right w:val="none" w:sz="0" w:space="0" w:color="auto"/>
          </w:divBdr>
        </w:div>
        <w:div w:id="1468204598">
          <w:marLeft w:val="0"/>
          <w:marRight w:val="0"/>
          <w:marTop w:val="0"/>
          <w:marBottom w:val="0"/>
          <w:divBdr>
            <w:top w:val="none" w:sz="0" w:space="0" w:color="auto"/>
            <w:left w:val="none" w:sz="0" w:space="0" w:color="auto"/>
            <w:bottom w:val="none" w:sz="0" w:space="0" w:color="auto"/>
            <w:right w:val="none" w:sz="0" w:space="0" w:color="auto"/>
          </w:divBdr>
        </w:div>
        <w:div w:id="1163089605">
          <w:marLeft w:val="0"/>
          <w:marRight w:val="0"/>
          <w:marTop w:val="0"/>
          <w:marBottom w:val="0"/>
          <w:divBdr>
            <w:top w:val="none" w:sz="0" w:space="0" w:color="auto"/>
            <w:left w:val="none" w:sz="0" w:space="0" w:color="auto"/>
            <w:bottom w:val="none" w:sz="0" w:space="0" w:color="auto"/>
            <w:right w:val="none" w:sz="0" w:space="0" w:color="auto"/>
          </w:divBdr>
        </w:div>
        <w:div w:id="1954244730">
          <w:marLeft w:val="0"/>
          <w:marRight w:val="0"/>
          <w:marTop w:val="0"/>
          <w:marBottom w:val="0"/>
          <w:divBdr>
            <w:top w:val="none" w:sz="0" w:space="0" w:color="auto"/>
            <w:left w:val="none" w:sz="0" w:space="0" w:color="auto"/>
            <w:bottom w:val="none" w:sz="0" w:space="0" w:color="auto"/>
            <w:right w:val="none" w:sz="0" w:space="0" w:color="auto"/>
          </w:divBdr>
        </w:div>
        <w:div w:id="694962559">
          <w:marLeft w:val="0"/>
          <w:marRight w:val="0"/>
          <w:marTop w:val="0"/>
          <w:marBottom w:val="0"/>
          <w:divBdr>
            <w:top w:val="none" w:sz="0" w:space="0" w:color="auto"/>
            <w:left w:val="none" w:sz="0" w:space="0" w:color="auto"/>
            <w:bottom w:val="none" w:sz="0" w:space="0" w:color="auto"/>
            <w:right w:val="none" w:sz="0" w:space="0" w:color="auto"/>
          </w:divBdr>
        </w:div>
        <w:div w:id="484585817">
          <w:marLeft w:val="0"/>
          <w:marRight w:val="0"/>
          <w:marTop w:val="0"/>
          <w:marBottom w:val="0"/>
          <w:divBdr>
            <w:top w:val="none" w:sz="0" w:space="0" w:color="auto"/>
            <w:left w:val="none" w:sz="0" w:space="0" w:color="auto"/>
            <w:bottom w:val="none" w:sz="0" w:space="0" w:color="auto"/>
            <w:right w:val="none" w:sz="0" w:space="0" w:color="auto"/>
          </w:divBdr>
        </w:div>
        <w:div w:id="946617622">
          <w:marLeft w:val="0"/>
          <w:marRight w:val="0"/>
          <w:marTop w:val="0"/>
          <w:marBottom w:val="0"/>
          <w:divBdr>
            <w:top w:val="none" w:sz="0" w:space="0" w:color="auto"/>
            <w:left w:val="none" w:sz="0" w:space="0" w:color="auto"/>
            <w:bottom w:val="none" w:sz="0" w:space="0" w:color="auto"/>
            <w:right w:val="none" w:sz="0" w:space="0" w:color="auto"/>
          </w:divBdr>
        </w:div>
        <w:div w:id="125002890">
          <w:marLeft w:val="0"/>
          <w:marRight w:val="0"/>
          <w:marTop w:val="0"/>
          <w:marBottom w:val="0"/>
          <w:divBdr>
            <w:top w:val="none" w:sz="0" w:space="0" w:color="auto"/>
            <w:left w:val="none" w:sz="0" w:space="0" w:color="auto"/>
            <w:bottom w:val="none" w:sz="0" w:space="0" w:color="auto"/>
            <w:right w:val="none" w:sz="0" w:space="0" w:color="auto"/>
          </w:divBdr>
        </w:div>
        <w:div w:id="981037136">
          <w:marLeft w:val="0"/>
          <w:marRight w:val="0"/>
          <w:marTop w:val="0"/>
          <w:marBottom w:val="0"/>
          <w:divBdr>
            <w:top w:val="none" w:sz="0" w:space="0" w:color="auto"/>
            <w:left w:val="none" w:sz="0" w:space="0" w:color="auto"/>
            <w:bottom w:val="none" w:sz="0" w:space="0" w:color="auto"/>
            <w:right w:val="none" w:sz="0" w:space="0" w:color="auto"/>
          </w:divBdr>
        </w:div>
        <w:div w:id="1601255418">
          <w:marLeft w:val="0"/>
          <w:marRight w:val="0"/>
          <w:marTop w:val="0"/>
          <w:marBottom w:val="0"/>
          <w:divBdr>
            <w:top w:val="none" w:sz="0" w:space="0" w:color="auto"/>
            <w:left w:val="none" w:sz="0" w:space="0" w:color="auto"/>
            <w:bottom w:val="none" w:sz="0" w:space="0" w:color="auto"/>
            <w:right w:val="none" w:sz="0" w:space="0" w:color="auto"/>
          </w:divBdr>
        </w:div>
        <w:div w:id="161162082">
          <w:marLeft w:val="0"/>
          <w:marRight w:val="0"/>
          <w:marTop w:val="0"/>
          <w:marBottom w:val="0"/>
          <w:divBdr>
            <w:top w:val="none" w:sz="0" w:space="0" w:color="auto"/>
            <w:left w:val="none" w:sz="0" w:space="0" w:color="auto"/>
            <w:bottom w:val="none" w:sz="0" w:space="0" w:color="auto"/>
            <w:right w:val="none" w:sz="0" w:space="0" w:color="auto"/>
          </w:divBdr>
        </w:div>
        <w:div w:id="2023242827">
          <w:marLeft w:val="0"/>
          <w:marRight w:val="0"/>
          <w:marTop w:val="0"/>
          <w:marBottom w:val="0"/>
          <w:divBdr>
            <w:top w:val="none" w:sz="0" w:space="0" w:color="auto"/>
            <w:left w:val="none" w:sz="0" w:space="0" w:color="auto"/>
            <w:bottom w:val="none" w:sz="0" w:space="0" w:color="auto"/>
            <w:right w:val="none" w:sz="0" w:space="0" w:color="auto"/>
          </w:divBdr>
        </w:div>
        <w:div w:id="351885058">
          <w:marLeft w:val="0"/>
          <w:marRight w:val="0"/>
          <w:marTop w:val="0"/>
          <w:marBottom w:val="0"/>
          <w:divBdr>
            <w:top w:val="none" w:sz="0" w:space="0" w:color="auto"/>
            <w:left w:val="none" w:sz="0" w:space="0" w:color="auto"/>
            <w:bottom w:val="none" w:sz="0" w:space="0" w:color="auto"/>
            <w:right w:val="none" w:sz="0" w:space="0" w:color="auto"/>
          </w:divBdr>
        </w:div>
        <w:div w:id="2139563017">
          <w:marLeft w:val="0"/>
          <w:marRight w:val="0"/>
          <w:marTop w:val="0"/>
          <w:marBottom w:val="0"/>
          <w:divBdr>
            <w:top w:val="none" w:sz="0" w:space="0" w:color="auto"/>
            <w:left w:val="none" w:sz="0" w:space="0" w:color="auto"/>
            <w:bottom w:val="none" w:sz="0" w:space="0" w:color="auto"/>
            <w:right w:val="none" w:sz="0" w:space="0" w:color="auto"/>
          </w:divBdr>
        </w:div>
        <w:div w:id="1938900274">
          <w:marLeft w:val="0"/>
          <w:marRight w:val="0"/>
          <w:marTop w:val="0"/>
          <w:marBottom w:val="0"/>
          <w:divBdr>
            <w:top w:val="none" w:sz="0" w:space="0" w:color="auto"/>
            <w:left w:val="none" w:sz="0" w:space="0" w:color="auto"/>
            <w:bottom w:val="none" w:sz="0" w:space="0" w:color="auto"/>
            <w:right w:val="none" w:sz="0" w:space="0" w:color="auto"/>
          </w:divBdr>
        </w:div>
        <w:div w:id="1033379978">
          <w:marLeft w:val="0"/>
          <w:marRight w:val="0"/>
          <w:marTop w:val="0"/>
          <w:marBottom w:val="0"/>
          <w:divBdr>
            <w:top w:val="none" w:sz="0" w:space="0" w:color="auto"/>
            <w:left w:val="none" w:sz="0" w:space="0" w:color="auto"/>
            <w:bottom w:val="none" w:sz="0" w:space="0" w:color="auto"/>
            <w:right w:val="none" w:sz="0" w:space="0" w:color="auto"/>
          </w:divBdr>
        </w:div>
        <w:div w:id="1921132429">
          <w:marLeft w:val="0"/>
          <w:marRight w:val="0"/>
          <w:marTop w:val="0"/>
          <w:marBottom w:val="0"/>
          <w:divBdr>
            <w:top w:val="none" w:sz="0" w:space="0" w:color="auto"/>
            <w:left w:val="none" w:sz="0" w:space="0" w:color="auto"/>
            <w:bottom w:val="none" w:sz="0" w:space="0" w:color="auto"/>
            <w:right w:val="none" w:sz="0" w:space="0" w:color="auto"/>
          </w:divBdr>
        </w:div>
        <w:div w:id="1665086298">
          <w:marLeft w:val="0"/>
          <w:marRight w:val="0"/>
          <w:marTop w:val="0"/>
          <w:marBottom w:val="0"/>
          <w:divBdr>
            <w:top w:val="none" w:sz="0" w:space="0" w:color="auto"/>
            <w:left w:val="none" w:sz="0" w:space="0" w:color="auto"/>
            <w:bottom w:val="none" w:sz="0" w:space="0" w:color="auto"/>
            <w:right w:val="none" w:sz="0" w:space="0" w:color="auto"/>
          </w:divBdr>
        </w:div>
        <w:div w:id="313681558">
          <w:marLeft w:val="0"/>
          <w:marRight w:val="0"/>
          <w:marTop w:val="0"/>
          <w:marBottom w:val="0"/>
          <w:divBdr>
            <w:top w:val="none" w:sz="0" w:space="0" w:color="auto"/>
            <w:left w:val="none" w:sz="0" w:space="0" w:color="auto"/>
            <w:bottom w:val="none" w:sz="0" w:space="0" w:color="auto"/>
            <w:right w:val="none" w:sz="0" w:space="0" w:color="auto"/>
          </w:divBdr>
        </w:div>
        <w:div w:id="512231342">
          <w:marLeft w:val="0"/>
          <w:marRight w:val="0"/>
          <w:marTop w:val="0"/>
          <w:marBottom w:val="0"/>
          <w:divBdr>
            <w:top w:val="none" w:sz="0" w:space="0" w:color="auto"/>
            <w:left w:val="none" w:sz="0" w:space="0" w:color="auto"/>
            <w:bottom w:val="none" w:sz="0" w:space="0" w:color="auto"/>
            <w:right w:val="none" w:sz="0" w:space="0" w:color="auto"/>
          </w:divBdr>
        </w:div>
        <w:div w:id="729115835">
          <w:marLeft w:val="0"/>
          <w:marRight w:val="0"/>
          <w:marTop w:val="0"/>
          <w:marBottom w:val="0"/>
          <w:divBdr>
            <w:top w:val="none" w:sz="0" w:space="0" w:color="auto"/>
            <w:left w:val="none" w:sz="0" w:space="0" w:color="auto"/>
            <w:bottom w:val="none" w:sz="0" w:space="0" w:color="auto"/>
            <w:right w:val="none" w:sz="0" w:space="0" w:color="auto"/>
          </w:divBdr>
        </w:div>
        <w:div w:id="1806309990">
          <w:marLeft w:val="0"/>
          <w:marRight w:val="0"/>
          <w:marTop w:val="0"/>
          <w:marBottom w:val="0"/>
          <w:divBdr>
            <w:top w:val="none" w:sz="0" w:space="0" w:color="auto"/>
            <w:left w:val="none" w:sz="0" w:space="0" w:color="auto"/>
            <w:bottom w:val="none" w:sz="0" w:space="0" w:color="auto"/>
            <w:right w:val="none" w:sz="0" w:space="0" w:color="auto"/>
          </w:divBdr>
        </w:div>
        <w:div w:id="1017656991">
          <w:marLeft w:val="0"/>
          <w:marRight w:val="0"/>
          <w:marTop w:val="0"/>
          <w:marBottom w:val="0"/>
          <w:divBdr>
            <w:top w:val="none" w:sz="0" w:space="0" w:color="auto"/>
            <w:left w:val="none" w:sz="0" w:space="0" w:color="auto"/>
            <w:bottom w:val="none" w:sz="0" w:space="0" w:color="auto"/>
            <w:right w:val="none" w:sz="0" w:space="0" w:color="auto"/>
          </w:divBdr>
        </w:div>
        <w:div w:id="1589156">
          <w:marLeft w:val="0"/>
          <w:marRight w:val="0"/>
          <w:marTop w:val="0"/>
          <w:marBottom w:val="0"/>
          <w:divBdr>
            <w:top w:val="none" w:sz="0" w:space="0" w:color="auto"/>
            <w:left w:val="none" w:sz="0" w:space="0" w:color="auto"/>
            <w:bottom w:val="none" w:sz="0" w:space="0" w:color="auto"/>
            <w:right w:val="none" w:sz="0" w:space="0" w:color="auto"/>
          </w:divBdr>
        </w:div>
        <w:div w:id="565724746">
          <w:marLeft w:val="0"/>
          <w:marRight w:val="0"/>
          <w:marTop w:val="0"/>
          <w:marBottom w:val="0"/>
          <w:divBdr>
            <w:top w:val="none" w:sz="0" w:space="0" w:color="auto"/>
            <w:left w:val="none" w:sz="0" w:space="0" w:color="auto"/>
            <w:bottom w:val="none" w:sz="0" w:space="0" w:color="auto"/>
            <w:right w:val="none" w:sz="0" w:space="0" w:color="auto"/>
          </w:divBdr>
        </w:div>
        <w:div w:id="734548321">
          <w:marLeft w:val="0"/>
          <w:marRight w:val="0"/>
          <w:marTop w:val="0"/>
          <w:marBottom w:val="0"/>
          <w:divBdr>
            <w:top w:val="none" w:sz="0" w:space="0" w:color="auto"/>
            <w:left w:val="none" w:sz="0" w:space="0" w:color="auto"/>
            <w:bottom w:val="none" w:sz="0" w:space="0" w:color="auto"/>
            <w:right w:val="none" w:sz="0" w:space="0" w:color="auto"/>
          </w:divBdr>
        </w:div>
        <w:div w:id="636958660">
          <w:marLeft w:val="0"/>
          <w:marRight w:val="0"/>
          <w:marTop w:val="0"/>
          <w:marBottom w:val="0"/>
          <w:divBdr>
            <w:top w:val="none" w:sz="0" w:space="0" w:color="auto"/>
            <w:left w:val="none" w:sz="0" w:space="0" w:color="auto"/>
            <w:bottom w:val="none" w:sz="0" w:space="0" w:color="auto"/>
            <w:right w:val="none" w:sz="0" w:space="0" w:color="auto"/>
          </w:divBdr>
        </w:div>
        <w:div w:id="2044791449">
          <w:marLeft w:val="0"/>
          <w:marRight w:val="0"/>
          <w:marTop w:val="0"/>
          <w:marBottom w:val="0"/>
          <w:divBdr>
            <w:top w:val="none" w:sz="0" w:space="0" w:color="auto"/>
            <w:left w:val="none" w:sz="0" w:space="0" w:color="auto"/>
            <w:bottom w:val="none" w:sz="0" w:space="0" w:color="auto"/>
            <w:right w:val="none" w:sz="0" w:space="0" w:color="auto"/>
          </w:divBdr>
        </w:div>
        <w:div w:id="572814312">
          <w:marLeft w:val="0"/>
          <w:marRight w:val="0"/>
          <w:marTop w:val="0"/>
          <w:marBottom w:val="0"/>
          <w:divBdr>
            <w:top w:val="none" w:sz="0" w:space="0" w:color="auto"/>
            <w:left w:val="none" w:sz="0" w:space="0" w:color="auto"/>
            <w:bottom w:val="none" w:sz="0" w:space="0" w:color="auto"/>
            <w:right w:val="none" w:sz="0" w:space="0" w:color="auto"/>
          </w:divBdr>
        </w:div>
      </w:divsChild>
    </w:div>
    <w:div w:id="899100096">
      <w:bodyDiv w:val="1"/>
      <w:marLeft w:val="210"/>
      <w:marRight w:val="210"/>
      <w:marTop w:val="0"/>
      <w:marBottom w:val="0"/>
      <w:divBdr>
        <w:top w:val="none" w:sz="0" w:space="0" w:color="auto"/>
        <w:left w:val="none" w:sz="0" w:space="0" w:color="auto"/>
        <w:bottom w:val="none" w:sz="0" w:space="0" w:color="auto"/>
        <w:right w:val="none" w:sz="0" w:space="0" w:color="auto"/>
      </w:divBdr>
      <w:divsChild>
        <w:div w:id="1943294249">
          <w:marLeft w:val="0"/>
          <w:marRight w:val="0"/>
          <w:marTop w:val="120"/>
          <w:marBottom w:val="120"/>
          <w:divBdr>
            <w:top w:val="none" w:sz="0" w:space="0" w:color="auto"/>
            <w:left w:val="none" w:sz="0" w:space="0" w:color="auto"/>
            <w:bottom w:val="none" w:sz="0" w:space="0" w:color="auto"/>
            <w:right w:val="none" w:sz="0" w:space="0" w:color="auto"/>
          </w:divBdr>
          <w:divsChild>
            <w:div w:id="1225601227">
              <w:marLeft w:val="0"/>
              <w:marRight w:val="0"/>
              <w:marTop w:val="0"/>
              <w:marBottom w:val="0"/>
              <w:divBdr>
                <w:top w:val="none" w:sz="0" w:space="0" w:color="auto"/>
                <w:left w:val="none" w:sz="0" w:space="0" w:color="auto"/>
                <w:bottom w:val="none" w:sz="0" w:space="0" w:color="auto"/>
                <w:right w:val="none" w:sz="0" w:space="0" w:color="auto"/>
              </w:divBdr>
              <w:divsChild>
                <w:div w:id="1924335872">
                  <w:marLeft w:val="0"/>
                  <w:marRight w:val="0"/>
                  <w:marTop w:val="0"/>
                  <w:marBottom w:val="0"/>
                  <w:divBdr>
                    <w:top w:val="none" w:sz="0" w:space="0" w:color="auto"/>
                    <w:left w:val="none" w:sz="0" w:space="0" w:color="auto"/>
                    <w:bottom w:val="none" w:sz="0" w:space="0" w:color="auto"/>
                    <w:right w:val="none" w:sz="0" w:space="0" w:color="auto"/>
                  </w:divBdr>
                  <w:divsChild>
                    <w:div w:id="1344479844">
                      <w:marLeft w:val="0"/>
                      <w:marRight w:val="0"/>
                      <w:marTop w:val="0"/>
                      <w:marBottom w:val="0"/>
                      <w:divBdr>
                        <w:top w:val="none" w:sz="0" w:space="0" w:color="auto"/>
                        <w:left w:val="none" w:sz="0" w:space="0" w:color="auto"/>
                        <w:bottom w:val="none" w:sz="0" w:space="0" w:color="auto"/>
                        <w:right w:val="none" w:sz="0" w:space="0" w:color="auto"/>
                      </w:divBdr>
                      <w:divsChild>
                        <w:div w:id="64955707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18408393">
                              <w:marLeft w:val="0"/>
                              <w:marRight w:val="0"/>
                              <w:marTop w:val="0"/>
                              <w:marBottom w:val="0"/>
                              <w:divBdr>
                                <w:top w:val="none" w:sz="0" w:space="0" w:color="auto"/>
                                <w:left w:val="none" w:sz="0" w:space="0" w:color="auto"/>
                                <w:bottom w:val="none" w:sz="0" w:space="0" w:color="auto"/>
                                <w:right w:val="none" w:sz="0" w:space="0" w:color="auto"/>
                              </w:divBdr>
                              <w:divsChild>
                                <w:div w:id="731119632">
                                  <w:marLeft w:val="0"/>
                                  <w:marRight w:val="0"/>
                                  <w:marTop w:val="0"/>
                                  <w:marBottom w:val="0"/>
                                  <w:divBdr>
                                    <w:top w:val="none" w:sz="0" w:space="0" w:color="auto"/>
                                    <w:left w:val="none" w:sz="0" w:space="0" w:color="auto"/>
                                    <w:bottom w:val="none" w:sz="0" w:space="0" w:color="auto"/>
                                    <w:right w:val="none" w:sz="0" w:space="0" w:color="auto"/>
                                  </w:divBdr>
                                  <w:divsChild>
                                    <w:div w:id="1229144927">
                                      <w:marLeft w:val="0"/>
                                      <w:marRight w:val="0"/>
                                      <w:marTop w:val="0"/>
                                      <w:marBottom w:val="0"/>
                                      <w:divBdr>
                                        <w:top w:val="none" w:sz="0" w:space="0" w:color="auto"/>
                                        <w:left w:val="none" w:sz="0" w:space="0" w:color="auto"/>
                                        <w:bottom w:val="none" w:sz="0" w:space="0" w:color="auto"/>
                                        <w:right w:val="none" w:sz="0" w:space="0" w:color="auto"/>
                                      </w:divBdr>
                                      <w:divsChild>
                                        <w:div w:id="20845251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871177">
                                              <w:marLeft w:val="0"/>
                                              <w:marRight w:val="0"/>
                                              <w:marTop w:val="0"/>
                                              <w:marBottom w:val="0"/>
                                              <w:divBdr>
                                                <w:top w:val="none" w:sz="0" w:space="0" w:color="auto"/>
                                                <w:left w:val="none" w:sz="0" w:space="0" w:color="auto"/>
                                                <w:bottom w:val="none" w:sz="0" w:space="0" w:color="auto"/>
                                                <w:right w:val="none" w:sz="0" w:space="0" w:color="auto"/>
                                              </w:divBdr>
                                              <w:divsChild>
                                                <w:div w:id="1861552127">
                                                  <w:marLeft w:val="0"/>
                                                  <w:marRight w:val="0"/>
                                                  <w:marTop w:val="0"/>
                                                  <w:marBottom w:val="0"/>
                                                  <w:divBdr>
                                                    <w:top w:val="none" w:sz="0" w:space="0" w:color="auto"/>
                                                    <w:left w:val="none" w:sz="0" w:space="0" w:color="auto"/>
                                                    <w:bottom w:val="none" w:sz="0" w:space="0" w:color="auto"/>
                                                    <w:right w:val="none" w:sz="0" w:space="0" w:color="auto"/>
                                                  </w:divBdr>
                                                </w:div>
                                                <w:div w:id="97468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8661069">
      <w:bodyDiv w:val="1"/>
      <w:marLeft w:val="0"/>
      <w:marRight w:val="0"/>
      <w:marTop w:val="0"/>
      <w:marBottom w:val="0"/>
      <w:divBdr>
        <w:top w:val="none" w:sz="0" w:space="0" w:color="auto"/>
        <w:left w:val="none" w:sz="0" w:space="0" w:color="auto"/>
        <w:bottom w:val="none" w:sz="0" w:space="0" w:color="auto"/>
        <w:right w:val="none" w:sz="0" w:space="0" w:color="auto"/>
      </w:divBdr>
    </w:div>
    <w:div w:id="1089615401">
      <w:bodyDiv w:val="1"/>
      <w:marLeft w:val="0"/>
      <w:marRight w:val="0"/>
      <w:marTop w:val="0"/>
      <w:marBottom w:val="0"/>
      <w:divBdr>
        <w:top w:val="none" w:sz="0" w:space="0" w:color="auto"/>
        <w:left w:val="none" w:sz="0" w:space="0" w:color="auto"/>
        <w:bottom w:val="none" w:sz="0" w:space="0" w:color="auto"/>
        <w:right w:val="none" w:sz="0" w:space="0" w:color="auto"/>
      </w:divBdr>
    </w:div>
    <w:div w:id="1114863398">
      <w:bodyDiv w:val="1"/>
      <w:marLeft w:val="0"/>
      <w:marRight w:val="0"/>
      <w:marTop w:val="0"/>
      <w:marBottom w:val="0"/>
      <w:divBdr>
        <w:top w:val="none" w:sz="0" w:space="0" w:color="auto"/>
        <w:left w:val="none" w:sz="0" w:space="0" w:color="auto"/>
        <w:bottom w:val="none" w:sz="0" w:space="0" w:color="auto"/>
        <w:right w:val="none" w:sz="0" w:space="0" w:color="auto"/>
      </w:divBdr>
      <w:divsChild>
        <w:div w:id="837581314">
          <w:marLeft w:val="0"/>
          <w:marRight w:val="0"/>
          <w:marTop w:val="0"/>
          <w:marBottom w:val="0"/>
          <w:divBdr>
            <w:top w:val="none" w:sz="0" w:space="0" w:color="auto"/>
            <w:left w:val="none" w:sz="0" w:space="0" w:color="auto"/>
            <w:bottom w:val="none" w:sz="0" w:space="0" w:color="auto"/>
            <w:right w:val="none" w:sz="0" w:space="0" w:color="auto"/>
          </w:divBdr>
        </w:div>
        <w:div w:id="1038164242">
          <w:marLeft w:val="0"/>
          <w:marRight w:val="0"/>
          <w:marTop w:val="0"/>
          <w:marBottom w:val="0"/>
          <w:divBdr>
            <w:top w:val="none" w:sz="0" w:space="0" w:color="auto"/>
            <w:left w:val="none" w:sz="0" w:space="0" w:color="auto"/>
            <w:bottom w:val="none" w:sz="0" w:space="0" w:color="auto"/>
            <w:right w:val="none" w:sz="0" w:space="0" w:color="auto"/>
          </w:divBdr>
        </w:div>
        <w:div w:id="1341934084">
          <w:marLeft w:val="0"/>
          <w:marRight w:val="0"/>
          <w:marTop w:val="0"/>
          <w:marBottom w:val="0"/>
          <w:divBdr>
            <w:top w:val="none" w:sz="0" w:space="0" w:color="auto"/>
            <w:left w:val="none" w:sz="0" w:space="0" w:color="auto"/>
            <w:bottom w:val="none" w:sz="0" w:space="0" w:color="auto"/>
            <w:right w:val="none" w:sz="0" w:space="0" w:color="auto"/>
          </w:divBdr>
        </w:div>
        <w:div w:id="441921332">
          <w:marLeft w:val="0"/>
          <w:marRight w:val="0"/>
          <w:marTop w:val="0"/>
          <w:marBottom w:val="0"/>
          <w:divBdr>
            <w:top w:val="none" w:sz="0" w:space="0" w:color="auto"/>
            <w:left w:val="none" w:sz="0" w:space="0" w:color="auto"/>
            <w:bottom w:val="none" w:sz="0" w:space="0" w:color="auto"/>
            <w:right w:val="none" w:sz="0" w:space="0" w:color="auto"/>
          </w:divBdr>
        </w:div>
        <w:div w:id="2000763734">
          <w:marLeft w:val="0"/>
          <w:marRight w:val="0"/>
          <w:marTop w:val="0"/>
          <w:marBottom w:val="0"/>
          <w:divBdr>
            <w:top w:val="none" w:sz="0" w:space="0" w:color="auto"/>
            <w:left w:val="none" w:sz="0" w:space="0" w:color="auto"/>
            <w:bottom w:val="none" w:sz="0" w:space="0" w:color="auto"/>
            <w:right w:val="none" w:sz="0" w:space="0" w:color="auto"/>
          </w:divBdr>
        </w:div>
        <w:div w:id="1565218309">
          <w:marLeft w:val="0"/>
          <w:marRight w:val="0"/>
          <w:marTop w:val="0"/>
          <w:marBottom w:val="0"/>
          <w:divBdr>
            <w:top w:val="none" w:sz="0" w:space="0" w:color="auto"/>
            <w:left w:val="none" w:sz="0" w:space="0" w:color="auto"/>
            <w:bottom w:val="none" w:sz="0" w:space="0" w:color="auto"/>
            <w:right w:val="none" w:sz="0" w:space="0" w:color="auto"/>
          </w:divBdr>
        </w:div>
        <w:div w:id="846794835">
          <w:marLeft w:val="0"/>
          <w:marRight w:val="0"/>
          <w:marTop w:val="0"/>
          <w:marBottom w:val="0"/>
          <w:divBdr>
            <w:top w:val="none" w:sz="0" w:space="0" w:color="auto"/>
            <w:left w:val="none" w:sz="0" w:space="0" w:color="auto"/>
            <w:bottom w:val="none" w:sz="0" w:space="0" w:color="auto"/>
            <w:right w:val="none" w:sz="0" w:space="0" w:color="auto"/>
          </w:divBdr>
        </w:div>
      </w:divsChild>
    </w:div>
    <w:div w:id="1211922006">
      <w:bodyDiv w:val="1"/>
      <w:marLeft w:val="210"/>
      <w:marRight w:val="210"/>
      <w:marTop w:val="0"/>
      <w:marBottom w:val="0"/>
      <w:divBdr>
        <w:top w:val="none" w:sz="0" w:space="0" w:color="auto"/>
        <w:left w:val="none" w:sz="0" w:space="0" w:color="auto"/>
        <w:bottom w:val="none" w:sz="0" w:space="0" w:color="auto"/>
        <w:right w:val="none" w:sz="0" w:space="0" w:color="auto"/>
      </w:divBdr>
      <w:divsChild>
        <w:div w:id="41490649">
          <w:marLeft w:val="0"/>
          <w:marRight w:val="0"/>
          <w:marTop w:val="120"/>
          <w:marBottom w:val="120"/>
          <w:divBdr>
            <w:top w:val="none" w:sz="0" w:space="0" w:color="auto"/>
            <w:left w:val="none" w:sz="0" w:space="0" w:color="auto"/>
            <w:bottom w:val="none" w:sz="0" w:space="0" w:color="auto"/>
            <w:right w:val="none" w:sz="0" w:space="0" w:color="auto"/>
          </w:divBdr>
          <w:divsChild>
            <w:div w:id="319578723">
              <w:marLeft w:val="0"/>
              <w:marRight w:val="0"/>
              <w:marTop w:val="0"/>
              <w:marBottom w:val="0"/>
              <w:divBdr>
                <w:top w:val="none" w:sz="0" w:space="0" w:color="auto"/>
                <w:left w:val="none" w:sz="0" w:space="0" w:color="auto"/>
                <w:bottom w:val="none" w:sz="0" w:space="0" w:color="auto"/>
                <w:right w:val="none" w:sz="0" w:space="0" w:color="auto"/>
              </w:divBdr>
              <w:divsChild>
                <w:div w:id="1766874389">
                  <w:marLeft w:val="0"/>
                  <w:marRight w:val="0"/>
                  <w:marTop w:val="0"/>
                  <w:marBottom w:val="0"/>
                  <w:divBdr>
                    <w:top w:val="none" w:sz="0" w:space="0" w:color="auto"/>
                    <w:left w:val="none" w:sz="0" w:space="0" w:color="auto"/>
                    <w:bottom w:val="none" w:sz="0" w:space="0" w:color="auto"/>
                    <w:right w:val="none" w:sz="0" w:space="0" w:color="auto"/>
                  </w:divBdr>
                  <w:divsChild>
                    <w:div w:id="1253516464">
                      <w:marLeft w:val="0"/>
                      <w:marRight w:val="0"/>
                      <w:marTop w:val="0"/>
                      <w:marBottom w:val="0"/>
                      <w:divBdr>
                        <w:top w:val="none" w:sz="0" w:space="0" w:color="auto"/>
                        <w:left w:val="none" w:sz="0" w:space="0" w:color="auto"/>
                        <w:bottom w:val="none" w:sz="0" w:space="0" w:color="auto"/>
                        <w:right w:val="none" w:sz="0" w:space="0" w:color="auto"/>
                      </w:divBdr>
                    </w:div>
                    <w:div w:id="210191691">
                      <w:marLeft w:val="0"/>
                      <w:marRight w:val="0"/>
                      <w:marTop w:val="0"/>
                      <w:marBottom w:val="0"/>
                      <w:divBdr>
                        <w:top w:val="none" w:sz="0" w:space="0" w:color="auto"/>
                        <w:left w:val="none" w:sz="0" w:space="0" w:color="auto"/>
                        <w:bottom w:val="none" w:sz="0" w:space="0" w:color="auto"/>
                        <w:right w:val="none" w:sz="0" w:space="0" w:color="auto"/>
                      </w:divBdr>
                    </w:div>
                    <w:div w:id="1767266009">
                      <w:marLeft w:val="0"/>
                      <w:marRight w:val="0"/>
                      <w:marTop w:val="0"/>
                      <w:marBottom w:val="0"/>
                      <w:divBdr>
                        <w:top w:val="none" w:sz="0" w:space="0" w:color="auto"/>
                        <w:left w:val="none" w:sz="0" w:space="0" w:color="auto"/>
                        <w:bottom w:val="none" w:sz="0" w:space="0" w:color="auto"/>
                        <w:right w:val="none" w:sz="0" w:space="0" w:color="auto"/>
                      </w:divBdr>
                    </w:div>
                    <w:div w:id="1998727552">
                      <w:marLeft w:val="0"/>
                      <w:marRight w:val="0"/>
                      <w:marTop w:val="0"/>
                      <w:marBottom w:val="0"/>
                      <w:divBdr>
                        <w:top w:val="none" w:sz="0" w:space="0" w:color="auto"/>
                        <w:left w:val="none" w:sz="0" w:space="0" w:color="auto"/>
                        <w:bottom w:val="none" w:sz="0" w:space="0" w:color="auto"/>
                        <w:right w:val="none" w:sz="0" w:space="0" w:color="auto"/>
                      </w:divBdr>
                    </w:div>
                    <w:div w:id="456216892">
                      <w:marLeft w:val="0"/>
                      <w:marRight w:val="0"/>
                      <w:marTop w:val="0"/>
                      <w:marBottom w:val="0"/>
                      <w:divBdr>
                        <w:top w:val="none" w:sz="0" w:space="0" w:color="auto"/>
                        <w:left w:val="none" w:sz="0" w:space="0" w:color="auto"/>
                        <w:bottom w:val="none" w:sz="0" w:space="0" w:color="auto"/>
                        <w:right w:val="none" w:sz="0" w:space="0" w:color="auto"/>
                      </w:divBdr>
                    </w:div>
                    <w:div w:id="68233368">
                      <w:marLeft w:val="0"/>
                      <w:marRight w:val="0"/>
                      <w:marTop w:val="0"/>
                      <w:marBottom w:val="0"/>
                      <w:divBdr>
                        <w:top w:val="none" w:sz="0" w:space="0" w:color="auto"/>
                        <w:left w:val="none" w:sz="0" w:space="0" w:color="auto"/>
                        <w:bottom w:val="none" w:sz="0" w:space="0" w:color="auto"/>
                        <w:right w:val="none" w:sz="0" w:space="0" w:color="auto"/>
                      </w:divBdr>
                    </w:div>
                    <w:div w:id="16640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302647">
      <w:bodyDiv w:val="1"/>
      <w:marLeft w:val="0"/>
      <w:marRight w:val="0"/>
      <w:marTop w:val="0"/>
      <w:marBottom w:val="0"/>
      <w:divBdr>
        <w:top w:val="none" w:sz="0" w:space="0" w:color="auto"/>
        <w:left w:val="none" w:sz="0" w:space="0" w:color="auto"/>
        <w:bottom w:val="none" w:sz="0" w:space="0" w:color="auto"/>
        <w:right w:val="none" w:sz="0" w:space="0" w:color="auto"/>
      </w:divBdr>
      <w:divsChild>
        <w:div w:id="1067412570">
          <w:marLeft w:val="0"/>
          <w:marRight w:val="0"/>
          <w:marTop w:val="0"/>
          <w:marBottom w:val="0"/>
          <w:divBdr>
            <w:top w:val="none" w:sz="0" w:space="0" w:color="auto"/>
            <w:left w:val="none" w:sz="0" w:space="0" w:color="auto"/>
            <w:bottom w:val="none" w:sz="0" w:space="0" w:color="auto"/>
            <w:right w:val="none" w:sz="0" w:space="0" w:color="auto"/>
          </w:divBdr>
        </w:div>
        <w:div w:id="1828785364">
          <w:marLeft w:val="0"/>
          <w:marRight w:val="0"/>
          <w:marTop w:val="0"/>
          <w:marBottom w:val="0"/>
          <w:divBdr>
            <w:top w:val="none" w:sz="0" w:space="0" w:color="auto"/>
            <w:left w:val="none" w:sz="0" w:space="0" w:color="auto"/>
            <w:bottom w:val="none" w:sz="0" w:space="0" w:color="auto"/>
            <w:right w:val="none" w:sz="0" w:space="0" w:color="auto"/>
          </w:divBdr>
        </w:div>
        <w:div w:id="965236999">
          <w:marLeft w:val="0"/>
          <w:marRight w:val="0"/>
          <w:marTop w:val="0"/>
          <w:marBottom w:val="0"/>
          <w:divBdr>
            <w:top w:val="none" w:sz="0" w:space="0" w:color="auto"/>
            <w:left w:val="none" w:sz="0" w:space="0" w:color="auto"/>
            <w:bottom w:val="none" w:sz="0" w:space="0" w:color="auto"/>
            <w:right w:val="none" w:sz="0" w:space="0" w:color="auto"/>
          </w:divBdr>
        </w:div>
        <w:div w:id="266888936">
          <w:marLeft w:val="0"/>
          <w:marRight w:val="0"/>
          <w:marTop w:val="0"/>
          <w:marBottom w:val="0"/>
          <w:divBdr>
            <w:top w:val="none" w:sz="0" w:space="0" w:color="auto"/>
            <w:left w:val="none" w:sz="0" w:space="0" w:color="auto"/>
            <w:bottom w:val="none" w:sz="0" w:space="0" w:color="auto"/>
            <w:right w:val="none" w:sz="0" w:space="0" w:color="auto"/>
          </w:divBdr>
        </w:div>
        <w:div w:id="83457737">
          <w:marLeft w:val="0"/>
          <w:marRight w:val="0"/>
          <w:marTop w:val="0"/>
          <w:marBottom w:val="0"/>
          <w:divBdr>
            <w:top w:val="none" w:sz="0" w:space="0" w:color="auto"/>
            <w:left w:val="none" w:sz="0" w:space="0" w:color="auto"/>
            <w:bottom w:val="none" w:sz="0" w:space="0" w:color="auto"/>
            <w:right w:val="none" w:sz="0" w:space="0" w:color="auto"/>
          </w:divBdr>
        </w:div>
        <w:div w:id="945649930">
          <w:marLeft w:val="0"/>
          <w:marRight w:val="0"/>
          <w:marTop w:val="0"/>
          <w:marBottom w:val="0"/>
          <w:divBdr>
            <w:top w:val="none" w:sz="0" w:space="0" w:color="auto"/>
            <w:left w:val="none" w:sz="0" w:space="0" w:color="auto"/>
            <w:bottom w:val="none" w:sz="0" w:space="0" w:color="auto"/>
            <w:right w:val="none" w:sz="0" w:space="0" w:color="auto"/>
          </w:divBdr>
        </w:div>
        <w:div w:id="624115078">
          <w:marLeft w:val="0"/>
          <w:marRight w:val="0"/>
          <w:marTop w:val="0"/>
          <w:marBottom w:val="0"/>
          <w:divBdr>
            <w:top w:val="none" w:sz="0" w:space="0" w:color="auto"/>
            <w:left w:val="none" w:sz="0" w:space="0" w:color="auto"/>
            <w:bottom w:val="none" w:sz="0" w:space="0" w:color="auto"/>
            <w:right w:val="none" w:sz="0" w:space="0" w:color="auto"/>
          </w:divBdr>
        </w:div>
        <w:div w:id="1567915490">
          <w:marLeft w:val="0"/>
          <w:marRight w:val="0"/>
          <w:marTop w:val="0"/>
          <w:marBottom w:val="0"/>
          <w:divBdr>
            <w:top w:val="none" w:sz="0" w:space="0" w:color="auto"/>
            <w:left w:val="none" w:sz="0" w:space="0" w:color="auto"/>
            <w:bottom w:val="none" w:sz="0" w:space="0" w:color="auto"/>
            <w:right w:val="none" w:sz="0" w:space="0" w:color="auto"/>
          </w:divBdr>
        </w:div>
        <w:div w:id="1649237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dc:creator>
  <cp:keywords/>
  <dc:description/>
  <cp:lastModifiedBy>Charlie Hemmings</cp:lastModifiedBy>
  <cp:revision>2</cp:revision>
  <cp:lastPrinted>2017-07-22T09:04:00Z</cp:lastPrinted>
  <dcterms:created xsi:type="dcterms:W3CDTF">2024-02-19T16:46:00Z</dcterms:created>
  <dcterms:modified xsi:type="dcterms:W3CDTF">2024-02-19T16:46:00Z</dcterms:modified>
</cp:coreProperties>
</file>